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Հավելված 1</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ՀՀ Սյունիքի մարզի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Մեղրի համայնքի ավագանու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2017 թվականի փետրվարի 28-ի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N18-Ն որոշման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r w:rsidRPr="004C72E1">
        <w:rPr>
          <w:rFonts w:ascii="GHEA Grapalat" w:hAnsi="GHEA Grapalat" w:cs="Times New Roman"/>
          <w:sz w:val="21"/>
          <w:szCs w:val="21"/>
        </w:rPr>
        <w:tab/>
        <w:t xml:space="preserve">                                  </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ՀՀ ՍՅՈՒՆԻՔԻ ՄԱՐԶԻ ՄԵՂՐԻ ՀԱՄԱՅՆՔԻ ՎԱՐՉԱԿԱՆ ՏԱՐԱԾՔՈՒՄ ԱՐՏԱՔԻՆ ԳՈՎԱԶԴԻ ՏԵՂԱԲԱՇԽՄԱՆ (ՏԵՂԱԴՐՄԱՆ) ՀԱՄԱՅՆՔԱՅԻՆ ԿԱՆՈՆՆԵՐ</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ԸՆԴՀԱՆՈՒՐ ԴՐՈՒՅԹՆԵՐ</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 Սույն կանոններով (այսուհետ` Կանոններ) սահմանվում է ՀՀ Սյունիքի մարզի Մեղրի համայնքի (այսուհետ՝ Համայնք) վարչական տարածքում արտաքին գովազդի (այսուհետ` գովազդ) տեղաբաշխման (տեղադրման) կարգը: Կանոնները ընդունվել են «Գովազդի մասին» ՀՀ օրենքին համապատասխան:</w:t>
      </w:r>
      <w:r w:rsidRPr="004C72E1">
        <w:rPr>
          <w:rFonts w:ascii="GHEA Grapalat" w:hAnsi="GHEA Grapalat" w:cs="Times New Roman"/>
          <w:sz w:val="21"/>
          <w:szCs w:val="21"/>
        </w:rPr>
        <w:cr/>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 Արտաքին գովազդը (այսուհետ` գովազդ) իրավաբանական կամ ֆիզիկական անձանց, ապրանքների, գաղափարների կամ նախաձեռնությունների մասին տեղեկությունների տարածումն է բնակավայրերում գովազդի միջոցներով (վահանակների, գրաժապավենների, լուսատախտակների, պլակատների, ազդագրերի, հայտարարությունների և այլն) անորոշ թվով անձանց շրջանում և կոչված է ձևավորելու կամ պահպանելու հետաքրքրությունը տվյալ ֆիզիկական և իրավաբանական անձի, ապրանքների կամ նախաձեռնությունների նկատմամբ:</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ՀՀ կառավարության 2002թ. մարտի 19-ի հ. 270 որոշման պահանջներին համապատասխան տեղադրվող ցուցանակների վրա զետեղվող տեղեկատվությունը արտաքին գովազդ չի համարվում: Արտաքին գովազդ են համարվում «ՀՀ Սյունիքի մարզի Մեղրի համայնքի վարչական տարածքում արտաքին գովազդի տեղաբաշխման (տեղադրման) չափորոշիչներով» (այսուհետ՝ Չափորոշիչներ) սահմանված մակերեսից ավելի մակերեսով տեղադրվող ֆիրմային նշանները և գովազդվող ապրանքանշանները: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 Կանոնները տարածվում են բոլոր այն տարածքների և տրանսպորտային միջոցների վրա, որտեղ պետք է տեղադրվի արտաքին գովազդը: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4. Պետական սեփականություն հանդիսացող հողամասի վրա գովազդի միջոց տեղադրելու համար ՀՀ հողային օրենսգրքով սահմանված կարգով Համայնքի ղեկավարի որոշմամբ  տրամադրվում է համապատասխան հողամաս՝  ՀՀ հողային օրենսգրքի համաձայն հատկացված հողամասը օգտագործման իրավունքով դիմում ներկայացրած գովազդատուին (գովազդակրին) հանձնելու՝ միաժամանակ կնքելով հողօգտագործման համապատասխան պայմանագիր, հետագայում տվյալ կողմի հետ նախապատվության իրավունքով երկարացնելու պայմանով: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5. Այն դեպքում, երբ գովազդի միջոցը տեղադրվում է պետական սեփականություն չհանդիսացող տարածքում (կամ դրանց օգտագործմամբ), ապա գովազդի միջոցի տեղաբաշխման (տեղադրման) թույլտվությունը (կից Ձևը) (այսուհետ` թույլտվություն), տալիս է Համայնքի ղեկավարը` տվյալ տարածքի սեփականատիրոջ կամ տարածքի օգտագործողի համաձայնության առկայությամբ: Ընդ որում, </w:t>
      </w:r>
      <w:r w:rsidRPr="004C72E1">
        <w:rPr>
          <w:rFonts w:ascii="GHEA Grapalat" w:hAnsi="GHEA Grapalat" w:cs="Times New Roman"/>
          <w:sz w:val="21"/>
          <w:szCs w:val="21"/>
        </w:rPr>
        <w:lastRenderedPageBreak/>
        <w:t>գովազդատուի (գովազդակրի) և տարածքի սեփականատիրոջ միջև հարաբերությունները կարգավորվում են նրանց միջև կնքված քաղաքացիաիրավական պայմանագրերով: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6. Գովազդի  տեղաբաշխման (տեղադրման) համար  հողամասի  հատկացման   որոշումներում և  հաշվի են  առնվում ՀՀ Սյունիքի մարզի  Մեղրիի  համայնքապետարանի  աշխատակազմի քաղաքաշինության,հողօգտագործման,գյուղատնտեսության և գույքի կառավարման բաժնի (այսուհետ՝ Բաժին) համաձայնությունը: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7. Սիզամարգերում և այլ կանաչ տարածքներում բարեկարգման տարրերի, ինչպես նաև էլեկտրասյուների հետ առնչվելու ու  մայրուղիների և փողոցների երթևեկելի մասի կենտրոնական-բաժանարար գոտիներում գովազդի  տեղաբաշխման (տեղադրման) համար  հաշվի է  առնվում  Բաժնի համաձայնությունը: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8. Համայնքի բնակավայրերի արտաքին տեսքի պատշաճ ձևավորման նպատակով Չափորոշիչներին և Կանոններին համապատասխան  Բաժնի, ինչպես նաև Համայնքի բնակավայրերի վարչական ղեկավարների առաջարկների հիման վրա Համայնքի ղեկավարը՝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8.1. հաստատում է Համայնքի վարչական տարածքում  գովազդային վահանակների տեղադիրները.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8.2.  սահմանում է այն կոնկրետ տեղադիրները, որտեղ չի թույլատրվում արտաքին գովազդի տեղադրումը: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9. Գովազդի տեղադրումը թույլատրվում է, եթե այն համապատասխանում է «Գովազդի մասին» ՀՀ օրենքի, Չափորոշիչների և Կանոնների պահանջներին: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ԳՈՎԱԶԴԻ ՏԵՂԱԲԱՇԽՄԱՆ (ՏԵՂԱԴՐՄԱՆ) ԹՈՒՅԼՏՎՈՒԹՅՈՒՆԸ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10. Գովազդի տեղադրման թույլտվությունը (հետագայում` թույլտվություն) «Տեղական ինքնակառավարման մասին» ՀՀ օրենքի համաձայն և Կանոններով սահմանված կարգով տրվում է  Համայնքի ղեկավարի կողմից:</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11. Գովազդային միջոց տեղադրելու համար գովազդատուն (գովազդակիրը) հայտ է ներկայացնում  Համայնքի ղեկավարին` նշելով իր անունը, գտնվելու վայրը, գովազդի տեղադրման վայրը և ժամկետը, ինչպես նաև հարցի լուծման համար նշանակություն ունեցող այլ հանգամանքները: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12.  Համայնքի ղեկավարի աշխատակազմը գովազդի միջոց տեղադրելու համար գովազդատուից (գովազդակրից) հայտը և անհրաժեշտ փաստաթղթերը ստանալուց հետո պարզում է գովազդային միջոցի համապատասխանությունը Չափորոշիչների և Կանոնների պահանջներին (եթե այն թերի է, հետ է վերադարձվում թերությունը վերացնելու և նորից 15-օրյա ժամկետում ներկայացնելու համար), և 15 օրվա ընթացքում  համայնքի ղեկավարի որոշմամբ տրվում է գովազդի տեղաբաշխման (տեղադրման ) թույլտվություն, որում նշվում են` գովազդատուի (գովազդակրի) անվանումը, գովազդի չափերը, տեղաբաշխման (տեղադրման) ձևը, գովազդային նյութերի անվանումը, թույլտվության գործողության ժամկետը: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13. Կանոնների 4-րդ կետին համապատասխան հատկացված տարածքի նույն հասցեում գովազդ տեղադրելու համար մեկից ավելի գովազդատուների (գովազդակիրների) հայտերի առկայության դեպքում Համայնքի ղեկավարը «Հրապարակային սակարկությունների մասին» ՀՀ օրենքի համաձայն հայտարարում և անց է կացնում մրցույթ, որի արդյունքներով մրցույթի հաղթողին տրվում է գովազդի տեղադրման թույլտվություն: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14. Թույլտվությունը հանդիսանում է հաշվառման փաստաթուղթ, որը գրանցվում է  համայնքի թույլտվությունների հաշվառման մատյանում, իսկ թույլտվության պատճենը և հաշվառման մատյանը պահվում են  համայնքի աշխատակազմի համապատասխան ստորաբաժանումում: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15. Գովազդի միջոցի տեղադրման վերաբերյալ գովազդատուի (գովազդակրի), հայտը 15-օրյա ժամկետում կարող է մերժվել այն դեպքում, եթե`</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15.1. ներկայացված փաստաթղթերը չեն համապատասխանում Չափորոշիչների և Կանոնների պահանջներին.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15.2. խախտվում են «Գովազդի մասին» ՀՀ օրենքի, «Լեզվի մասին» ՀՀ օրենքի և ՀՀ այլ իրավական ակտերի պահանջները.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15.3. գովազդի միջոցի տեղադրմամբ խոչընդոտվում է ճանապարհային երթևեկությունը կամ քաղաքացիների անցուդարձը, խախտվում են անձանց օրենքով պաշտպանված իրավունքներն ու շահերը: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16. Գովազդային միջոց տեղադրելու հայտը մերժելու վերաբերյալ որոշման մեջ պետք է հստակ նշվեն մերժման պատճառներն ու հիմքերը: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17. 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Մեղրի  համայնքապետարանի աշխատակազմի    քաղաքաշինության,  հողօգտագործման, գյուղատնտեսության և գույքի  կառավարման    բաժնի հետ:</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18. Գովազդը պետք է համապատասխանի «Գովազդի մասին» ՀՀ օրենքի, «Լեզվի մասին» ՀՀ օրենքի, Չափորոշիչների, Կանոնների և ՀՀ այլ իրավական ակտերի պահանջներին: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19. Գովազդի տեղադրման միջոցի մոնտաժային աշխատանքները կատարվում են հայտատուի պատվերով` մասնագիտացված կազմակերպությունների կողմից մշակված և Բաժնի հետ համաձայնեցված  նախագծով: Արտաքին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20. Գովազդատուն (գովազդակիրը) իրավասու չէ արտաքին գովազդի տեղադրման համար իրեն տրված թույլտվությունը փոխանցել կամ օտարել այլ անձի:</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21. Գովազդի տեղաբաշխման (տեղադրման) թույլտվության ժամկետը լրանալու կամ երկարացնելու, պայմանագրով նախատեսված հիմքերով այն վաղաժամ դադարելու (լուծելու) դեպքում գովազդատուն (գովազդակիրը) պարտավոր է ողջամիտ ժամկետում իր միջոցներով ապամոնտաժել գովազդը և դրա տեղաբաշխման միջոցները, իսկ զբաղեցրած տարածքը բերել նախկին վիճակին: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22. Կանոններով նախատեսված պարտավորությունը գովազդատուի (գովազդակրի) կողմից չկատարելու կամ ոչ պատշաճ կատարելու դեպքում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ՏԵՂԱԿԱՆ ՏՈՒՐՔԵՐԻ ԵՎ ՀՈՂՕԳՏԱԳՈՐԾՄԱՆ ՎՃԱՐԻ ՄՈՒԾՄԱՆ ԿԱՐԳԸ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23.Համայնքի ավագանին համայնքի վարչական տարածքում յուրաքանչյուր տարվա համար արտաքին գովազդ տեղադրելու թույլտվության համար մեկ քառակուսի մետրի տեղական տուրքի դրույքաչափերը սահմանում է «Տեղական տուրքերի և վճարների մասին» ՀՀ օրենքին համապատասխան: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24. 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ՀՀ օրենքի համաձայն  համայնքի ավագանու կողմից հաստատված համապատասխան դրույքաչափերով: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25. Կանոններով նախատեսված հողօգտագործման վճարի չափը սահմանվում է  Համայնքի ավագանու կողմից:</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26. Գովազդատուի (գովազդակրի) կողմից անբարեխիղճ գովազդ թույլ տալու դեպքում` Համայնքի ղեկավարը գովազդի մասին օրենսդրության խախտման դադարեցման և հակագովազդի իրականացման վերաբերյալ գրավոր նախազգուշացնում է գովազդատուին (գովազդակրին) և այդ մասին Մեղրի համայնքի համապատասխան բնակավայրի վարչական  ղեկավարին տեղեկացնում է 10-օրյա ժամկետում: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27. Գովազդատուները (գովազդակիրները) իրավասու են օրենքով սահմանված կարգով դատական կարգով բողոքարկել գովազդի տեղաբաշխման (տեղադրման) կապակցությամբ Համայնքի ղեկավարի որոշումներն ու գործողությունները: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29. Համայնքի վարչական տարածքում արտաքին գովազդի տեղաբաշխման (տեղադրման) գործընթացի  և գովազդի մասին օրենսդրության պահպանման նկատմամբ վերահսկողությունը   իրականացնում է Համայնքի ղեկավարը: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30. Գովազդային օրենսդրության պահանջների խախտումը առաջացնում է օրենքով նախատեսված պատասխանատվություն: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ab/>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ՀՀ ՍՅՈՒՆԻՔԻ ՄԱՐԶԻ ՄԵՂՐԻ ՀԱՄԱՅՆՔԻ  ՎԱՐՉԱԿԱՆ ՏԱՐԱԾՔՈՒՄ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ԱՐՏԱՔԻՆ ԳՈՎԱԶԴԻ ՏԵՂԱԲԱՇԽՄԱՆ (ՏԵՂԱԴՐՄԱՆ)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Թ ՈՒ Յ Լ Տ Վ ՈՒ Թ Յ ՈՒ Ն  N ____</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r w:rsidRPr="004C72E1">
        <w:rPr>
          <w:rFonts w:ascii="GHEA Grapalat" w:hAnsi="GHEA Grapalat" w:cs="Times New Roman"/>
          <w:sz w:val="21"/>
          <w:szCs w:val="21"/>
        </w:rPr>
        <w:tab/>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Տրվում է_____________________________</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գովազդատուի և (կամ) գովազդակրի անվանումը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___________________________________</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արտաքին գովազդի տեղաբաշխման (տեղադրման) վայրը (տեղը)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___________________________________</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արտաքին գովազդ տեղաբաշխելու (տեղադրելու) միջոցը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(վահանակ, լուսատախտակ, գրաժապավեն, պաստառ և այլն)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___________________________________</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գովազդի տեսակը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___________________________________</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գովազդային նյութի անվանումը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Գովազդի մակերեսը _____ քմ</w:t>
      </w:r>
      <w:r w:rsidRPr="004C72E1">
        <w:rPr>
          <w:rFonts w:ascii="GHEA Grapalat" w:hAnsi="GHEA Grapalat" w:cs="Times New Roman"/>
          <w:sz w:val="21"/>
          <w:szCs w:val="21"/>
        </w:rPr>
        <w:tab/>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Թույլտվության գործողության ժամկետը`</w:t>
      </w:r>
      <w:r w:rsidRPr="004C72E1">
        <w:rPr>
          <w:rFonts w:ascii="GHEA Grapalat" w:hAnsi="GHEA Grapalat" w:cs="Times New Roman"/>
          <w:sz w:val="21"/>
          <w:szCs w:val="21"/>
        </w:rPr>
        <w:tab/>
        <w:t>«__»___________20___թ.</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ab/>
        <w:t>առ` «__» _______20___թ.</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Կ.Տ.</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Մեղրի համայնքի ղեկավար`   __________________</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ՀԱՄԱՅՆՔԻ ՂԵԿԱՎԱՐ՝                                   Մ.ԶԱՔԱՐՅԱՆ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ab/>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r w:rsidRPr="004C72E1">
        <w:rPr>
          <w:rFonts w:ascii="GHEA Grapalat" w:hAnsi="GHEA Grapalat" w:cs="Times New Roman"/>
          <w:sz w:val="21"/>
          <w:szCs w:val="21"/>
        </w:rPr>
        <w:tab/>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Հավելված 2</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ՀՀ Սյունիքի մարզի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Մեղրի համայնքի ավագանու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2017 թվականի փետրվարի 28-ի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N18-Ն   որոշման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ՀՀ ՍՅՈՒՆԻՔԻ ՄԱՐԶԻ ՄԵՂՐԻ ՀԱՄԱՅՆՔԻ ՎԱՐՉԱԿԱՆ ՏԱՐԱԾՔՈՒՄ ԱՐՏԱՔԻՆ ԳՈՎԱԶԴԻ ՏԵՂԱԲԱՇԽՄԱՆ (ՏԵՂԱԴՐՄԱՆ) ՉԱՓՈՐՈՇԻՉՆԵՐ</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ԸՆԴՀԱՆՈՒՐ ԴՐՈՒՅԹՆԵՐ</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 ՀՀ Սյունիքի մարզի Մեղրի համայնքի (այսուհետ՝ Համայնք) վարչական տարածքում արտաքին գովազդի տեղաբաշխման (տեղադրման) չափորոշիչները (այսուհետ` Չափորոշիչներ), մշակվել են «Գովազդի մասին» ՀՀ օրենքի, «ՀՀ Սյունիքի մարզի Մեղրի համայնքի վարչական տարածքում արտաքին գովազդի տեղաբաշխման (տեղադրման) համայնքային կանոնների» (այսուհետ` Կանոններ) համապատասխան: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2. Համայնքի վարչական տարածքում արտաքին գովազդի միջոցների (այսուհետ` գովազդ) տեղաբաշխումը (տեղադրումը) թույլատրվում է Կանոնների և Չափորոշիչների պահանջներին համապատասխան: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ԱՐՏԱՔԻՆ ԳՈՎԱԶԴԻ ՄԻՋՈՑՆԵՐԸ ԵՎ ԴՐԱՆՑ ՉԱՓՈՐՈՇԻՉՆԵՐԸ</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1. Արտաքին գովազդի միջոց են համարվում Համայնքի վարչական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էլեկտրոնային էկրանները, ցուցանակները, բարձակները, ցուցատախտակները, շենքերի մուտքերի և պատուհանների հովհարները (մարկիզ), գրաժապավենները (տրանսպարանտ) և այլն: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ԱՐՏԱՔԻՆ ԳՈՎԱԶԴԻ ՏԵՂԱԲԱՇԽՄԱՆ (ՏԵՂԱԴՐՄԱՆ) ՉԱՓՈՐՈՇԻՉՆԵՐԸ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1. Գովազդի տեղաբաշխմանը </w:t>
      </w:r>
      <w:proofErr w:type="gramStart"/>
      <w:r w:rsidRPr="004C72E1">
        <w:rPr>
          <w:rFonts w:ascii="GHEA Grapalat" w:hAnsi="GHEA Grapalat" w:cs="Times New Roman"/>
          <w:sz w:val="21"/>
          <w:szCs w:val="21"/>
        </w:rPr>
        <w:t xml:space="preserve">( </w:t>
      </w:r>
      <w:proofErr w:type="gramEnd"/>
      <w:r w:rsidRPr="004C72E1">
        <w:rPr>
          <w:rFonts w:ascii="GHEA Grapalat" w:hAnsi="GHEA Grapalat" w:cs="Times New Roman"/>
          <w:sz w:val="21"/>
          <w:szCs w:val="21"/>
        </w:rPr>
        <w:t>տեղադրմանը) ներկայացվող պահանջները`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1.1 Համայնքի վարչական տարածքում գովազդը և դրանց առանձին մասերը չեն կարող տեղաբաշխվել (տեղադրվել) երթևեկելի մասի մակերևույթից 6 մ-ից ցածր բարձրությամբ եզրաքար չունեցող ճանապարհի կողքին, հողեզրից 3 մ -ից պակաս հեռավորության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1.2 Գովազդի միջոցները չպետք է` </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սահմանափակեն տեսանելիությունը ավտոճանապարհների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առաջացնեն երթևեկության մասնակիցների կուրացում (լույսով, այդ թվում՝ նաև անդրադարձող).</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հանդիսանան հետիոտնի շարժմանը արգելք.</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լինեն ճանապարհների վտանգավոր հատվածներում և տեղադրվեն լուսամփոփների ու ճանապարհային կանգնակների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1.3 Կանոններին և Չափորոշիչներին համապատասխան ցանկացած տիպի գովազդի միջոցների տեղաբաշխումը (տեղադրումը) պետք է հիմնավորել համապատասխան նախագծային և տեսողական ընկալման դիտակետից:</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1.4 Գովազդի տեղադրումը տրանսպորտային միջոցների վրա և պետական ավտոմոբիլային ճանապարհների հարող տարածքներում չպետք է հակասի ՀՀ կառավարության 2005թ. նոյեմբերի 24-ի N 2137-Ն և 2005թ. դեկտեմբերի 29-ի N 2404-Ն որոշումների պահանջներին: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1.5 Գովազդ տեղադրել չի թույլատրվում`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բնակելի շենքերի մոտ, եթե դրանք հանդիսանում են աղմուկի, տատանման, հզոր ճառագայթման և էլեկտրամագնիսական դաշտի աղբյուր.</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«Պատմության և մշակույթի անշարժ հուշարձանների ու պատմական միջավայրի պահպանության և օգտագործման մասին» ՀՀ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փողոցների խաչմերուկների սահմաններից և դրանց մոտեցումներից 25 մ-ից ոչ պակաս հեռավորության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1.6  Մեղրի և Ագարակ քաղաքների  հրապարակներում, ինչպես նաև դրանց համար մուտքեր և ելքեր հանդիսացող տարածքների առանձին տեղերում ՀՀ Սյունիքի մարզի Մեղրիի համայնքապետարանի աշխատակազմի    քաղաքաշինության,  հողօգտագործման, գյուղատնտեսության և գույքի  կառավարման    բաժնի (այսուհետ՝ Բաժին) համաձայնության դեպքում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 Գովազդի առանձին կանգնած մնայուն միջոցների տեսակները`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2.1 Տեղեկատու դաշտի չափի տեսակներն են`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մեծ չափերի—3մ X 4մ, 3մ X 6մ և այլ չափերի</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միջին չափերի—1.8մ X1.2մ, 2մ X 3մ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փոքր չափերի—0.6մ X 0.9մ և ավելի փոքր չափերի.</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2.2 Վահանակներին ներկայացվող պահանջներն են`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երկկողմանի կատարում,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միակողմանի կատարում, որի դեպքում գովազդի հակառակ կողմը պարտադիր դեկորատիվ ձևավորում է.</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2.3 մայրուղիներում  մեկ ուղղությամբ երկու հարևան վահանակների միջև հեռավորությունը պետք է կազմի առնվազն`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15քմ—18 քմ և այլ չափերի` 100 մ—150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10 քմ—15 քմ`</w:t>
      </w:r>
      <w:r w:rsidRPr="004C72E1">
        <w:rPr>
          <w:rFonts w:ascii="GHEA Grapalat" w:hAnsi="GHEA Grapalat" w:cs="Times New Roman"/>
          <w:sz w:val="21"/>
          <w:szCs w:val="21"/>
        </w:rPr>
        <w:tab/>
        <w:t>50 մ—75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6 քմ—10 քմ`</w:t>
      </w:r>
      <w:r w:rsidRPr="004C72E1">
        <w:rPr>
          <w:rFonts w:ascii="GHEA Grapalat" w:hAnsi="GHEA Grapalat" w:cs="Times New Roman"/>
          <w:sz w:val="21"/>
          <w:szCs w:val="21"/>
        </w:rPr>
        <w:tab/>
        <w:t>30 մ—50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4 քմ—6 քմ`</w:t>
      </w:r>
      <w:r w:rsidRPr="004C72E1">
        <w:rPr>
          <w:rFonts w:ascii="GHEA Grapalat" w:hAnsi="GHEA Grapalat" w:cs="Times New Roman"/>
          <w:sz w:val="21"/>
          <w:szCs w:val="21"/>
        </w:rPr>
        <w:tab/>
        <w:t>20 մ—30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2 քմ—4 քմ`</w:t>
      </w:r>
      <w:r w:rsidRPr="004C72E1">
        <w:rPr>
          <w:rFonts w:ascii="GHEA Grapalat" w:hAnsi="GHEA Grapalat" w:cs="Times New Roman"/>
          <w:sz w:val="21"/>
          <w:szCs w:val="21"/>
        </w:rPr>
        <w:tab/>
        <w:t>10 մ—20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մինչև 2 քմ`</w:t>
      </w:r>
      <w:r w:rsidRPr="004C72E1">
        <w:rPr>
          <w:rFonts w:ascii="GHEA Grapalat" w:hAnsi="GHEA Grapalat" w:cs="Times New Roman"/>
          <w:sz w:val="21"/>
          <w:szCs w:val="21"/>
        </w:rPr>
        <w:tab/>
        <w:t xml:space="preserve"> 5 մ—10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2.4 նեղ փողոցներում և նրբանցքներում մեկ ուղղությամբ երկու հարևան վահանակների միջև եղած հեռավորությունը պետք է կազմի առնվազն`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10 քմ—12 քմ՝</w:t>
      </w:r>
      <w:r w:rsidRPr="004C72E1">
        <w:rPr>
          <w:rFonts w:ascii="GHEA Grapalat" w:hAnsi="GHEA Grapalat" w:cs="Times New Roman"/>
          <w:sz w:val="21"/>
          <w:szCs w:val="21"/>
        </w:rPr>
        <w:tab/>
        <w:t>20 մ—30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6 քմ—10 քմ`</w:t>
      </w:r>
      <w:r w:rsidRPr="004C72E1">
        <w:rPr>
          <w:rFonts w:ascii="GHEA Grapalat" w:hAnsi="GHEA Grapalat" w:cs="Times New Roman"/>
          <w:sz w:val="21"/>
          <w:szCs w:val="21"/>
        </w:rPr>
        <w:tab/>
        <w:t>15 մ—25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4 քմ—6 քմ`</w:t>
      </w:r>
      <w:r w:rsidRPr="004C72E1">
        <w:rPr>
          <w:rFonts w:ascii="GHEA Grapalat" w:hAnsi="GHEA Grapalat" w:cs="Times New Roman"/>
          <w:sz w:val="21"/>
          <w:szCs w:val="21"/>
        </w:rPr>
        <w:tab/>
        <w:t>10 մ—20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2 քմ—4 քմ`</w:t>
      </w:r>
      <w:r w:rsidRPr="004C72E1">
        <w:rPr>
          <w:rFonts w:ascii="GHEA Grapalat" w:hAnsi="GHEA Grapalat" w:cs="Times New Roman"/>
          <w:sz w:val="21"/>
          <w:szCs w:val="21"/>
        </w:rPr>
        <w:tab/>
        <w:t>5 մ —10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  մինչև 2 քմ`</w:t>
      </w:r>
      <w:r w:rsidRPr="004C72E1">
        <w:rPr>
          <w:rFonts w:ascii="GHEA Grapalat" w:hAnsi="GHEA Grapalat" w:cs="Times New Roman"/>
          <w:sz w:val="21"/>
          <w:szCs w:val="21"/>
        </w:rPr>
        <w:tab/>
        <w:t>5 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 Շենքերի, շինությունների, ինչպես նաև Համայնքի բարեկարգման տարրերի վրա տեղաբաշխվող (տեղադրվող) արտաքին գովազդի և տեղեկատվության մնայուն միջոցների տեսակները`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3.1. Տանիքային կայանքներ. ծավալային կամ մակերեսային կոնստրուկցիաներ են, որոնք տեղադրվում են ամբողջովին կամ մասամբ` շենքի ճակատային մասում կամ տանիքին: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Տանիքային կայանքները բաղկացած են կոնստրուկցիայի կրող մասի ամրակցման տարրերից և տեղեկատու կայանքից:</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3.1.2.Տանիքային կայանքները պետք է ունենան հակահրդեհային և հոսանքի վթարային անջատման համակարգ:</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3.1.3.Ամրակցման տարրերը, ինչպես և կոնստրուկցիայի կրող մասի հակառակ կողմը պետք է ծածկվեն դեկորատիվ պանելով: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3.1.4.Տանիքային կայանքի տեղադրման հայտերն ընդունվում են պատվիրատուի կողմից մասնագիտական փորձաքննություն անցած կոնստրուկցիաների և համաձայնեցված նախագծի առկայության դեպքում: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3.1.5.Կոնստրուկցիաների միջոցով տանիքային կայանքի գովազդային վահանակի տեղադրումը պետք է համաձայնեցվի   Բաժնի  հետ:</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3.2 .Պատի մեծանկարներ (պաննո) կոչվում են արտաքին գովազդի այն միջոցները, որոնք տեղադրվում են շինությունների պատերին հետևյալ ձևերով`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3.2.1.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3.2.2. Պատի մեծանկարները կատարվում են անհատական նախագծի հիման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3.2.3. Պատի մեծանկարները պարտադիր պետք է ունենան համապատասխան փորձաքննություն անցած կոնստրուկցիաների նախագիծ:</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3.2.4. Պատի մեծանկարների տեղեկատու դաշտի մակերեսը որոշվում է կոնստրուկցիայի կամ անմիջական չափերով: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3.3. Բարձակ (կոնսոլային կոնստրուկցիա) են կոչվում երկկողմանի հարթակային վահանակները, որոնք ամրակցվում են կայմասյուներին կամ շենքերի վրա: Համապատասխան հիմնավորման դեպքում թույլատրվում է բարձակները տեղադրել քաղաքային լուսավորման և կոնտակտային ցանցերի կրող կոնստրուկցիաների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3.3.1. Բարձակները պետք է լինեն երկկողմանի տեսքով և ունենան ներքին լուսավորում:</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3.3.2. Հիմքերի վրա (ուղղահայաց) տեղադրվող բարձակների տիպային չափեր են` 1.8 մ X 1.2 մ (մայրուղիների, հրապարակների համար)</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0.6մ X 0.9մ, 1.0մ X 0.7մ (նեղ փողոցների և նրբանցքների համար) և ավելի փոքր:</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3.3.3. Շահագործման անվտանգության նպատակով բարձակները տեղադրվում են հողի մակերևույթից ոչ պակաս, քան 3մ բարձրության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3.3.4. Հիմքերի վրա կանգնեցված բարձակները տեղադրվում են երթևեկելի մասից դուրս` մայթի կողմը: Արգելվում է մեկից ավելի բարձակների տեղադրումը մեկ հիմքի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3.3.5. Բարձակի տեղեկատու դաշտի մակերեսը հաշվարկվում է երկու կողմերի ընդհանուր մակերեսով: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4. Կրկնաձիգ գրաժապավենը (տրանսպարանտ) արտաքին գովազդի տեղեկատվության միջոց է: Այն բաղկացած է հիմքից, ամրակցման սարքավորումից և տեղեկատու պատկերից:</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4.1. Գրաժապավենների հեռավորությունն իրարից պետք է լինի 50մ-ից ոչ պակաս:</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4.2. Գրաժապավենների բարձրությունը պետք է լինի երթևեկության գծի համեմատ 5մ-ից ոչ պակաս:</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4.3 Տեղեկատու դաշտի մակերեսը որոշվում է երկու կողմերի մակերեսով: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5. Էկրանավորող սարքավորումներն արտաքին գովազդի և տեղեկատվության միջոց են:</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5.1. Դրանց կոնստրուկցիան ներառում է էկրանավորող (վերարտադրող) սարքավորման մակերես (էկրան) կամ տեղեկատու պատկեր:</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5.2. Հարթ պատկերների համար նախատեսված տեղեկատու դաշտի մակերեսը որոշվում է էկրանավորող պատկերի մակերեսով:</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6. Գովազդային վահանակների ներքևի եզրը պետք է տեղադրված լինի փողոցի մակերեսից 6մ -ից ոչ պակաս բարձրության վրա:</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7. 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8. Չափորոշիչներում չնշված և ՀՀ կառավարության 2002 թ. մարտի 19-ի հ. 270 որոշմամբ հաստատված ցանկում չընդգրկված 2.0 քառակուսի մետրից ավելի մակերեսով ֆիրմային նշանների և գովազդվող տարբեր ապրանքանշանների տեղադրումն իրականացվում է   Բաժնի  համաձայնեցմամբ:</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9. Տրանսպորտային միջոցների վրա գովազդի տեղադրումը.</w:t>
      </w: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t xml:space="preserve"> 9.1. Տրանսպորտային միջոցների վրա գովազդի տեղադրումն իրականացվում է ՀՀ կառավարության 2005թ. նոյեմբերի 24-ի N 2137-Ն որոշման պահանջներին համապատասխան:</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r w:rsidRPr="004C72E1">
        <w:rPr>
          <w:rFonts w:ascii="GHEA Grapalat" w:hAnsi="GHEA Grapalat" w:cs="Times New Roman"/>
          <w:sz w:val="21"/>
          <w:szCs w:val="21"/>
        </w:rPr>
        <w:lastRenderedPageBreak/>
        <w:t xml:space="preserve">               ՀԱՄԱՅՆՔԻ ՂԵԿԱՎԱՐ՝                                Մ.ԶԱՔԱՐՅԱՆ</w:t>
      </w: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p>
    <w:p w:rsidR="004C72E1" w:rsidRPr="004C72E1" w:rsidRDefault="004C72E1" w:rsidP="004C72E1">
      <w:pPr>
        <w:rPr>
          <w:rFonts w:ascii="GHEA Grapalat" w:hAnsi="GHEA Grapalat" w:cs="Times New Roman"/>
          <w:sz w:val="21"/>
          <w:szCs w:val="21"/>
        </w:rPr>
      </w:pPr>
    </w:p>
    <w:p w:rsidR="003D2AC4" w:rsidRPr="004C72E1" w:rsidRDefault="003D2AC4" w:rsidP="004C72E1">
      <w:bookmarkStart w:id="0" w:name="_GoBack"/>
      <w:bookmarkEnd w:id="0"/>
    </w:p>
    <w:sectPr w:rsidR="003D2AC4" w:rsidRPr="004C72E1" w:rsidSect="00674868">
      <w:pgSz w:w="11906" w:h="16838"/>
      <w:pgMar w:top="142" w:right="850"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197"/>
    <w:multiLevelType w:val="hybridMultilevel"/>
    <w:tmpl w:val="102A999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D61735"/>
    <w:multiLevelType w:val="hybridMultilevel"/>
    <w:tmpl w:val="124C60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2E1E0C"/>
    <w:multiLevelType w:val="hybridMultilevel"/>
    <w:tmpl w:val="6D7A38DE"/>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061CC0"/>
    <w:multiLevelType w:val="hybridMultilevel"/>
    <w:tmpl w:val="571C35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E80631"/>
    <w:multiLevelType w:val="hybridMultilevel"/>
    <w:tmpl w:val="4352F4F6"/>
    <w:lvl w:ilvl="0" w:tplc="0409000F">
      <w:start w:val="1"/>
      <w:numFmt w:val="decimal"/>
      <w:lvlText w:val="%1."/>
      <w:lvlJc w:val="left"/>
      <w:pPr>
        <w:ind w:left="720" w:hanging="360"/>
      </w:pPr>
      <w:rPr>
        <w:rFonts w:cs="Times New Roman" w:hint="default"/>
      </w:rPr>
    </w:lvl>
    <w:lvl w:ilvl="1" w:tplc="188CF826">
      <w:start w:val="1"/>
      <w:numFmt w:val="decimal"/>
      <w:lvlText w:val="%2)"/>
      <w:lvlJc w:val="left"/>
      <w:pPr>
        <w:ind w:left="1440" w:hanging="360"/>
      </w:pPr>
      <w:rPr>
        <w:rFonts w:ascii="GHEA Grapalat" w:hAnsi="GHEA Grapalat"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BD37751"/>
    <w:multiLevelType w:val="hybridMultilevel"/>
    <w:tmpl w:val="70E6BFCC"/>
    <w:lvl w:ilvl="0" w:tplc="04090011">
      <w:start w:val="1"/>
      <w:numFmt w:val="decimal"/>
      <w:lvlText w:val="%1)"/>
      <w:lvlJc w:val="left"/>
      <w:pPr>
        <w:ind w:left="1475" w:hanging="360"/>
      </w:pPr>
      <w:rPr>
        <w:rFonts w:cs="Times New Roman"/>
      </w:rPr>
    </w:lvl>
    <w:lvl w:ilvl="1" w:tplc="04090019" w:tentative="1">
      <w:start w:val="1"/>
      <w:numFmt w:val="lowerLetter"/>
      <w:lvlText w:val="%2."/>
      <w:lvlJc w:val="left"/>
      <w:pPr>
        <w:ind w:left="2195" w:hanging="360"/>
      </w:pPr>
      <w:rPr>
        <w:rFonts w:cs="Times New Roman"/>
      </w:rPr>
    </w:lvl>
    <w:lvl w:ilvl="2" w:tplc="0409001B" w:tentative="1">
      <w:start w:val="1"/>
      <w:numFmt w:val="lowerRoman"/>
      <w:lvlText w:val="%3."/>
      <w:lvlJc w:val="right"/>
      <w:pPr>
        <w:ind w:left="2915" w:hanging="180"/>
      </w:pPr>
      <w:rPr>
        <w:rFonts w:cs="Times New Roman"/>
      </w:rPr>
    </w:lvl>
    <w:lvl w:ilvl="3" w:tplc="0409000F" w:tentative="1">
      <w:start w:val="1"/>
      <w:numFmt w:val="decimal"/>
      <w:lvlText w:val="%4."/>
      <w:lvlJc w:val="left"/>
      <w:pPr>
        <w:ind w:left="3635" w:hanging="360"/>
      </w:pPr>
      <w:rPr>
        <w:rFonts w:cs="Times New Roman"/>
      </w:rPr>
    </w:lvl>
    <w:lvl w:ilvl="4" w:tplc="04090019" w:tentative="1">
      <w:start w:val="1"/>
      <w:numFmt w:val="lowerLetter"/>
      <w:lvlText w:val="%5."/>
      <w:lvlJc w:val="left"/>
      <w:pPr>
        <w:ind w:left="4355" w:hanging="360"/>
      </w:pPr>
      <w:rPr>
        <w:rFonts w:cs="Times New Roman"/>
      </w:rPr>
    </w:lvl>
    <w:lvl w:ilvl="5" w:tplc="0409001B" w:tentative="1">
      <w:start w:val="1"/>
      <w:numFmt w:val="lowerRoman"/>
      <w:lvlText w:val="%6."/>
      <w:lvlJc w:val="right"/>
      <w:pPr>
        <w:ind w:left="5075" w:hanging="180"/>
      </w:pPr>
      <w:rPr>
        <w:rFonts w:cs="Times New Roman"/>
      </w:rPr>
    </w:lvl>
    <w:lvl w:ilvl="6" w:tplc="0409000F" w:tentative="1">
      <w:start w:val="1"/>
      <w:numFmt w:val="decimal"/>
      <w:lvlText w:val="%7."/>
      <w:lvlJc w:val="left"/>
      <w:pPr>
        <w:ind w:left="5795" w:hanging="360"/>
      </w:pPr>
      <w:rPr>
        <w:rFonts w:cs="Times New Roman"/>
      </w:rPr>
    </w:lvl>
    <w:lvl w:ilvl="7" w:tplc="04090019" w:tentative="1">
      <w:start w:val="1"/>
      <w:numFmt w:val="lowerLetter"/>
      <w:lvlText w:val="%8."/>
      <w:lvlJc w:val="left"/>
      <w:pPr>
        <w:ind w:left="6515" w:hanging="360"/>
      </w:pPr>
      <w:rPr>
        <w:rFonts w:cs="Times New Roman"/>
      </w:rPr>
    </w:lvl>
    <w:lvl w:ilvl="8" w:tplc="0409001B" w:tentative="1">
      <w:start w:val="1"/>
      <w:numFmt w:val="lowerRoman"/>
      <w:lvlText w:val="%9."/>
      <w:lvlJc w:val="right"/>
      <w:pPr>
        <w:ind w:left="7235" w:hanging="180"/>
      </w:pPr>
      <w:rPr>
        <w:rFonts w:cs="Times New Roman"/>
      </w:rPr>
    </w:lvl>
  </w:abstractNum>
  <w:abstractNum w:abstractNumId="7">
    <w:nsid w:val="331451DF"/>
    <w:multiLevelType w:val="hybridMultilevel"/>
    <w:tmpl w:val="EA9CE686"/>
    <w:lvl w:ilvl="0" w:tplc="86D4E7E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CF17A04"/>
    <w:multiLevelType w:val="hybridMultilevel"/>
    <w:tmpl w:val="8BD4B7A0"/>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9">
    <w:nsid w:val="4DDB0C2D"/>
    <w:multiLevelType w:val="hybridMultilevel"/>
    <w:tmpl w:val="AC0863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FC2EA4"/>
    <w:multiLevelType w:val="hybridMultilevel"/>
    <w:tmpl w:val="0D3C0F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398570A"/>
    <w:multiLevelType w:val="hybridMultilevel"/>
    <w:tmpl w:val="EA9CE686"/>
    <w:lvl w:ilvl="0" w:tplc="86D4E7EE">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57E3638"/>
    <w:multiLevelType w:val="hybridMultilevel"/>
    <w:tmpl w:val="89922A7C"/>
    <w:lvl w:ilvl="0" w:tplc="04090011">
      <w:start w:val="1"/>
      <w:numFmt w:val="decimal"/>
      <w:lvlText w:val="%1)"/>
      <w:lvlJc w:val="left"/>
      <w:pPr>
        <w:ind w:left="1475" w:hanging="360"/>
      </w:pPr>
      <w:rPr>
        <w:rFonts w:cs="Times New Roman"/>
      </w:rPr>
    </w:lvl>
    <w:lvl w:ilvl="1" w:tplc="04090019" w:tentative="1">
      <w:start w:val="1"/>
      <w:numFmt w:val="lowerLetter"/>
      <w:lvlText w:val="%2."/>
      <w:lvlJc w:val="left"/>
      <w:pPr>
        <w:ind w:left="2195" w:hanging="360"/>
      </w:pPr>
      <w:rPr>
        <w:rFonts w:cs="Times New Roman"/>
      </w:rPr>
    </w:lvl>
    <w:lvl w:ilvl="2" w:tplc="0409001B" w:tentative="1">
      <w:start w:val="1"/>
      <w:numFmt w:val="lowerRoman"/>
      <w:lvlText w:val="%3."/>
      <w:lvlJc w:val="right"/>
      <w:pPr>
        <w:ind w:left="2915" w:hanging="180"/>
      </w:pPr>
      <w:rPr>
        <w:rFonts w:cs="Times New Roman"/>
      </w:rPr>
    </w:lvl>
    <w:lvl w:ilvl="3" w:tplc="0409000F" w:tentative="1">
      <w:start w:val="1"/>
      <w:numFmt w:val="decimal"/>
      <w:lvlText w:val="%4."/>
      <w:lvlJc w:val="left"/>
      <w:pPr>
        <w:ind w:left="3635" w:hanging="360"/>
      </w:pPr>
      <w:rPr>
        <w:rFonts w:cs="Times New Roman"/>
      </w:rPr>
    </w:lvl>
    <w:lvl w:ilvl="4" w:tplc="04090019" w:tentative="1">
      <w:start w:val="1"/>
      <w:numFmt w:val="lowerLetter"/>
      <w:lvlText w:val="%5."/>
      <w:lvlJc w:val="left"/>
      <w:pPr>
        <w:ind w:left="4355" w:hanging="360"/>
      </w:pPr>
      <w:rPr>
        <w:rFonts w:cs="Times New Roman"/>
      </w:rPr>
    </w:lvl>
    <w:lvl w:ilvl="5" w:tplc="0409001B" w:tentative="1">
      <w:start w:val="1"/>
      <w:numFmt w:val="lowerRoman"/>
      <w:lvlText w:val="%6."/>
      <w:lvlJc w:val="right"/>
      <w:pPr>
        <w:ind w:left="5075" w:hanging="180"/>
      </w:pPr>
      <w:rPr>
        <w:rFonts w:cs="Times New Roman"/>
      </w:rPr>
    </w:lvl>
    <w:lvl w:ilvl="6" w:tplc="0409000F" w:tentative="1">
      <w:start w:val="1"/>
      <w:numFmt w:val="decimal"/>
      <w:lvlText w:val="%7."/>
      <w:lvlJc w:val="left"/>
      <w:pPr>
        <w:ind w:left="5795" w:hanging="360"/>
      </w:pPr>
      <w:rPr>
        <w:rFonts w:cs="Times New Roman"/>
      </w:rPr>
    </w:lvl>
    <w:lvl w:ilvl="7" w:tplc="04090019" w:tentative="1">
      <w:start w:val="1"/>
      <w:numFmt w:val="lowerLetter"/>
      <w:lvlText w:val="%8."/>
      <w:lvlJc w:val="left"/>
      <w:pPr>
        <w:ind w:left="6515" w:hanging="360"/>
      </w:pPr>
      <w:rPr>
        <w:rFonts w:cs="Times New Roman"/>
      </w:rPr>
    </w:lvl>
    <w:lvl w:ilvl="8" w:tplc="0409001B" w:tentative="1">
      <w:start w:val="1"/>
      <w:numFmt w:val="lowerRoman"/>
      <w:lvlText w:val="%9."/>
      <w:lvlJc w:val="right"/>
      <w:pPr>
        <w:ind w:left="7235" w:hanging="180"/>
      </w:pPr>
      <w:rPr>
        <w:rFonts w:cs="Times New Roman"/>
      </w:rPr>
    </w:lvl>
  </w:abstractNum>
  <w:abstractNum w:abstractNumId="13">
    <w:nsid w:val="798F4155"/>
    <w:multiLevelType w:val="hybridMultilevel"/>
    <w:tmpl w:val="D65AE676"/>
    <w:lvl w:ilvl="0" w:tplc="0419000F">
      <w:start w:val="1"/>
      <w:numFmt w:val="decimal"/>
      <w:lvlText w:val="%1."/>
      <w:lvlJc w:val="left"/>
      <w:pPr>
        <w:ind w:left="720" w:hanging="360"/>
      </w:pPr>
      <w:rPr>
        <w:rFonts w:cs="Times New Roman"/>
      </w:rPr>
    </w:lvl>
    <w:lvl w:ilvl="1" w:tplc="F9408F3C">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CE7726F"/>
    <w:multiLevelType w:val="hybridMultilevel"/>
    <w:tmpl w:val="B030A8FC"/>
    <w:lvl w:ilvl="0" w:tplc="04090011">
      <w:start w:val="1"/>
      <w:numFmt w:val="decimal"/>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num w:numId="1">
    <w:abstractNumId w:val="2"/>
  </w:num>
  <w:num w:numId="2">
    <w:abstractNumId w:val="12"/>
  </w:num>
  <w:num w:numId="3">
    <w:abstractNumId w:val="6"/>
  </w:num>
  <w:num w:numId="4">
    <w:abstractNumId w:val="14"/>
  </w:num>
  <w:num w:numId="5">
    <w:abstractNumId w:val="8"/>
  </w:num>
  <w:num w:numId="6">
    <w:abstractNumId w:val="1"/>
  </w:num>
  <w:num w:numId="7">
    <w:abstractNumId w:val="11"/>
  </w:num>
  <w:num w:numId="8">
    <w:abstractNumId w:val="7"/>
  </w:num>
  <w:num w:numId="9">
    <w:abstractNumId w:val="0"/>
  </w:num>
  <w:num w:numId="10">
    <w:abstractNumId w:val="9"/>
  </w:num>
  <w:num w:numId="11">
    <w:abstractNumId w:val="13"/>
  </w:num>
  <w:num w:numId="12">
    <w:abstractNumId w:val="3"/>
  </w:num>
  <w:num w:numId="13">
    <w:abstractNumId w:val="4"/>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34"/>
    <w:rsid w:val="003D2AC4"/>
    <w:rsid w:val="004C72E1"/>
    <w:rsid w:val="00674868"/>
    <w:rsid w:val="006E0434"/>
    <w:rsid w:val="00801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68"/>
    <w:rPr>
      <w:rFonts w:ascii="Calibri" w:eastAsia="Times New Roman" w:hAnsi="Calibri" w:cs="Calibri"/>
      <w:lang w:eastAsia="ru-RU"/>
    </w:rPr>
  </w:style>
  <w:style w:type="paragraph" w:styleId="1">
    <w:name w:val="heading 1"/>
    <w:basedOn w:val="a"/>
    <w:next w:val="a"/>
    <w:link w:val="10"/>
    <w:qFormat/>
    <w:rsid w:val="00674868"/>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qFormat/>
    <w:rsid w:val="00674868"/>
    <w:pPr>
      <w:keepNext/>
      <w:keepLines/>
      <w:spacing w:before="200" w:after="0"/>
      <w:outlineLvl w:val="1"/>
    </w:pPr>
    <w:rPr>
      <w:rFonts w:ascii="Cambria" w:eastAsia="Calibri"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868"/>
    <w:rPr>
      <w:rFonts w:ascii="Cambria" w:eastAsia="Calibri" w:hAnsi="Cambria" w:cs="Times New Roman"/>
      <w:b/>
      <w:bCs/>
      <w:color w:val="365F91"/>
      <w:sz w:val="28"/>
      <w:szCs w:val="28"/>
    </w:rPr>
  </w:style>
  <w:style w:type="character" w:customStyle="1" w:styleId="20">
    <w:name w:val="Заголовок 2 Знак"/>
    <w:basedOn w:val="a0"/>
    <w:link w:val="2"/>
    <w:rsid w:val="00674868"/>
    <w:rPr>
      <w:rFonts w:ascii="Cambria" w:eastAsia="Calibri" w:hAnsi="Cambria" w:cs="Times New Roman"/>
      <w:b/>
      <w:bCs/>
      <w:color w:val="4F81BD"/>
      <w:sz w:val="26"/>
      <w:szCs w:val="26"/>
    </w:rPr>
  </w:style>
  <w:style w:type="paragraph" w:styleId="a3">
    <w:name w:val="Body Text"/>
    <w:basedOn w:val="a"/>
    <w:link w:val="a4"/>
    <w:rsid w:val="00674868"/>
    <w:pPr>
      <w:spacing w:after="0" w:line="240" w:lineRule="auto"/>
      <w:jc w:val="both"/>
    </w:pPr>
    <w:rPr>
      <w:rFonts w:ascii="Arial Armenian" w:hAnsi="Arial Armenian" w:cs="Times New Roman"/>
      <w:sz w:val="24"/>
      <w:szCs w:val="24"/>
      <w:lang w:val="en-US" w:eastAsia="en-US"/>
    </w:rPr>
  </w:style>
  <w:style w:type="character" w:customStyle="1" w:styleId="a4">
    <w:name w:val="Основной текст Знак"/>
    <w:basedOn w:val="a0"/>
    <w:link w:val="a3"/>
    <w:rsid w:val="00674868"/>
    <w:rPr>
      <w:rFonts w:ascii="Arial Armenian" w:eastAsia="Times New Roman" w:hAnsi="Arial Armenian" w:cs="Times New Roman"/>
      <w:sz w:val="24"/>
      <w:szCs w:val="24"/>
      <w:lang w:val="en-US"/>
    </w:rPr>
  </w:style>
  <w:style w:type="paragraph" w:styleId="a5">
    <w:name w:val="Normal (Web)"/>
    <w:basedOn w:val="a"/>
    <w:uiPriority w:val="99"/>
    <w:rsid w:val="00674868"/>
    <w:pPr>
      <w:spacing w:before="100" w:beforeAutospacing="1" w:after="100" w:afterAutospacing="1" w:line="240" w:lineRule="auto"/>
    </w:pPr>
    <w:rPr>
      <w:rFonts w:ascii="Times New Roman" w:hAnsi="Times New Roman" w:cs="Times New Roman"/>
      <w:sz w:val="24"/>
      <w:szCs w:val="24"/>
    </w:rPr>
  </w:style>
  <w:style w:type="paragraph" w:customStyle="1" w:styleId="11">
    <w:name w:val="Абзац списка1"/>
    <w:basedOn w:val="a"/>
    <w:qFormat/>
    <w:rsid w:val="00674868"/>
    <w:pPr>
      <w:spacing w:after="0" w:line="360" w:lineRule="auto"/>
      <w:ind w:left="720"/>
      <w:contextualSpacing/>
      <w:jc w:val="both"/>
    </w:pPr>
    <w:rPr>
      <w:rFonts w:ascii="Sylfaen" w:eastAsia="Calibri" w:hAnsi="Sylfaen" w:cs="Times New Roman"/>
      <w:sz w:val="24"/>
      <w:szCs w:val="24"/>
      <w:lang w:val="en-US" w:eastAsia="en-US"/>
    </w:rPr>
  </w:style>
  <w:style w:type="character" w:customStyle="1" w:styleId="apple-converted-space">
    <w:name w:val="apple-converted-space"/>
    <w:rsid w:val="00674868"/>
    <w:rPr>
      <w:rFonts w:cs="Times New Roman"/>
    </w:rPr>
  </w:style>
  <w:style w:type="character" w:styleId="a6">
    <w:name w:val="Strong"/>
    <w:qFormat/>
    <w:rsid w:val="00674868"/>
    <w:rPr>
      <w:b/>
    </w:rPr>
  </w:style>
  <w:style w:type="character" w:customStyle="1" w:styleId="apple-style-span">
    <w:name w:val="apple-style-span"/>
    <w:rsid w:val="00674868"/>
    <w:rPr>
      <w:rFonts w:cs="Times New Roman"/>
    </w:rPr>
  </w:style>
  <w:style w:type="character" w:styleId="a7">
    <w:name w:val="Emphasis"/>
    <w:qFormat/>
    <w:rsid w:val="00674868"/>
    <w:rPr>
      <w:rFonts w:cs="Times New Roman"/>
      <w:i/>
      <w:iCs/>
    </w:rPr>
  </w:style>
  <w:style w:type="paragraph" w:styleId="a8">
    <w:name w:val="Subtitle"/>
    <w:basedOn w:val="a"/>
    <w:next w:val="a"/>
    <w:link w:val="a9"/>
    <w:qFormat/>
    <w:rsid w:val="00674868"/>
    <w:pPr>
      <w:numPr>
        <w:ilvl w:val="1"/>
      </w:numPr>
    </w:pPr>
    <w:rPr>
      <w:rFonts w:ascii="Cambria" w:eastAsia="Calibri" w:hAnsi="Cambria" w:cs="Times New Roman"/>
      <w:i/>
      <w:iCs/>
      <w:color w:val="4F81BD"/>
      <w:spacing w:val="15"/>
      <w:sz w:val="24"/>
      <w:szCs w:val="24"/>
      <w:lang w:eastAsia="en-US"/>
    </w:rPr>
  </w:style>
  <w:style w:type="character" w:customStyle="1" w:styleId="a9">
    <w:name w:val="Подзаголовок Знак"/>
    <w:basedOn w:val="a0"/>
    <w:link w:val="a8"/>
    <w:rsid w:val="00674868"/>
    <w:rPr>
      <w:rFonts w:ascii="Cambria" w:eastAsia="Calibri" w:hAnsi="Cambria" w:cs="Times New Roman"/>
      <w:i/>
      <w:iCs/>
      <w:color w:val="4F81BD"/>
      <w:spacing w:val="15"/>
      <w:sz w:val="24"/>
      <w:szCs w:val="24"/>
    </w:rPr>
  </w:style>
  <w:style w:type="paragraph" w:customStyle="1" w:styleId="21">
    <w:name w:val="Цитата 21"/>
    <w:basedOn w:val="a"/>
    <w:next w:val="a"/>
    <w:link w:val="QuoteChar"/>
    <w:rsid w:val="00674868"/>
    <w:rPr>
      <w:rFonts w:cs="Times New Roman"/>
      <w:i/>
      <w:iCs/>
      <w:color w:val="000000"/>
      <w:lang w:eastAsia="en-US"/>
    </w:rPr>
  </w:style>
  <w:style w:type="character" w:customStyle="1" w:styleId="QuoteChar">
    <w:name w:val="Quote Char"/>
    <w:link w:val="21"/>
    <w:locked/>
    <w:rsid w:val="00674868"/>
    <w:rPr>
      <w:rFonts w:ascii="Calibri" w:eastAsia="Times New Roman" w:hAnsi="Calibri" w:cs="Times New Roman"/>
      <w:i/>
      <w:iCs/>
      <w:color w:val="000000"/>
    </w:rPr>
  </w:style>
  <w:style w:type="paragraph" w:customStyle="1" w:styleId="12">
    <w:name w:val="Выделенная цитата1"/>
    <w:basedOn w:val="a"/>
    <w:next w:val="a"/>
    <w:link w:val="IntenseQuoteChar"/>
    <w:rsid w:val="00674868"/>
    <w:pPr>
      <w:pBdr>
        <w:bottom w:val="single" w:sz="4" w:space="4" w:color="4F81BD"/>
      </w:pBdr>
      <w:spacing w:before="200" w:after="280"/>
      <w:ind w:left="936" w:right="936"/>
    </w:pPr>
    <w:rPr>
      <w:rFonts w:cs="Times New Roman"/>
      <w:b/>
      <w:bCs/>
      <w:i/>
      <w:iCs/>
      <w:color w:val="4F81BD"/>
      <w:lang w:eastAsia="en-US"/>
    </w:rPr>
  </w:style>
  <w:style w:type="character" w:customStyle="1" w:styleId="IntenseQuoteChar">
    <w:name w:val="Intense Quote Char"/>
    <w:link w:val="12"/>
    <w:locked/>
    <w:rsid w:val="00674868"/>
    <w:rPr>
      <w:rFonts w:ascii="Calibri" w:eastAsia="Times New Roman" w:hAnsi="Calibri" w:cs="Times New Roman"/>
      <w:b/>
      <w:bCs/>
      <w:i/>
      <w:iCs/>
      <w:color w:val="4F81BD"/>
    </w:rPr>
  </w:style>
  <w:style w:type="paragraph" w:styleId="aa">
    <w:name w:val="List Paragraph"/>
    <w:basedOn w:val="a"/>
    <w:qFormat/>
    <w:rsid w:val="00674868"/>
    <w:pPr>
      <w:ind w:left="708"/>
    </w:pPr>
    <w:rPr>
      <w:rFonts w:ascii="GHEA Grapalat" w:hAnsi="GHEA Grapalat" w:cs="Times New Roman"/>
      <w:sz w:val="24"/>
      <w:lang w:val="en-US" w:eastAsia="en-US"/>
    </w:rPr>
  </w:style>
  <w:style w:type="paragraph" w:styleId="ab">
    <w:name w:val="Balloon Text"/>
    <w:basedOn w:val="a"/>
    <w:link w:val="ac"/>
    <w:rsid w:val="00674868"/>
    <w:pPr>
      <w:spacing w:after="0" w:line="240" w:lineRule="auto"/>
    </w:pPr>
    <w:rPr>
      <w:rFonts w:ascii="Tahoma" w:hAnsi="Tahoma" w:cs="Tahoma"/>
      <w:sz w:val="16"/>
      <w:szCs w:val="16"/>
    </w:rPr>
  </w:style>
  <w:style w:type="character" w:customStyle="1" w:styleId="ac">
    <w:name w:val="Текст выноски Знак"/>
    <w:basedOn w:val="a0"/>
    <w:link w:val="ab"/>
    <w:rsid w:val="0067486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68"/>
    <w:rPr>
      <w:rFonts w:ascii="Calibri" w:eastAsia="Times New Roman" w:hAnsi="Calibri" w:cs="Calibri"/>
      <w:lang w:eastAsia="ru-RU"/>
    </w:rPr>
  </w:style>
  <w:style w:type="paragraph" w:styleId="1">
    <w:name w:val="heading 1"/>
    <w:basedOn w:val="a"/>
    <w:next w:val="a"/>
    <w:link w:val="10"/>
    <w:qFormat/>
    <w:rsid w:val="00674868"/>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qFormat/>
    <w:rsid w:val="00674868"/>
    <w:pPr>
      <w:keepNext/>
      <w:keepLines/>
      <w:spacing w:before="200" w:after="0"/>
      <w:outlineLvl w:val="1"/>
    </w:pPr>
    <w:rPr>
      <w:rFonts w:ascii="Cambria" w:eastAsia="Calibri"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868"/>
    <w:rPr>
      <w:rFonts w:ascii="Cambria" w:eastAsia="Calibri" w:hAnsi="Cambria" w:cs="Times New Roman"/>
      <w:b/>
      <w:bCs/>
      <w:color w:val="365F91"/>
      <w:sz w:val="28"/>
      <w:szCs w:val="28"/>
    </w:rPr>
  </w:style>
  <w:style w:type="character" w:customStyle="1" w:styleId="20">
    <w:name w:val="Заголовок 2 Знак"/>
    <w:basedOn w:val="a0"/>
    <w:link w:val="2"/>
    <w:rsid w:val="00674868"/>
    <w:rPr>
      <w:rFonts w:ascii="Cambria" w:eastAsia="Calibri" w:hAnsi="Cambria" w:cs="Times New Roman"/>
      <w:b/>
      <w:bCs/>
      <w:color w:val="4F81BD"/>
      <w:sz w:val="26"/>
      <w:szCs w:val="26"/>
    </w:rPr>
  </w:style>
  <w:style w:type="paragraph" w:styleId="a3">
    <w:name w:val="Body Text"/>
    <w:basedOn w:val="a"/>
    <w:link w:val="a4"/>
    <w:rsid w:val="00674868"/>
    <w:pPr>
      <w:spacing w:after="0" w:line="240" w:lineRule="auto"/>
      <w:jc w:val="both"/>
    </w:pPr>
    <w:rPr>
      <w:rFonts w:ascii="Arial Armenian" w:hAnsi="Arial Armenian" w:cs="Times New Roman"/>
      <w:sz w:val="24"/>
      <w:szCs w:val="24"/>
      <w:lang w:val="en-US" w:eastAsia="en-US"/>
    </w:rPr>
  </w:style>
  <w:style w:type="character" w:customStyle="1" w:styleId="a4">
    <w:name w:val="Основной текст Знак"/>
    <w:basedOn w:val="a0"/>
    <w:link w:val="a3"/>
    <w:rsid w:val="00674868"/>
    <w:rPr>
      <w:rFonts w:ascii="Arial Armenian" w:eastAsia="Times New Roman" w:hAnsi="Arial Armenian" w:cs="Times New Roman"/>
      <w:sz w:val="24"/>
      <w:szCs w:val="24"/>
      <w:lang w:val="en-US"/>
    </w:rPr>
  </w:style>
  <w:style w:type="paragraph" w:styleId="a5">
    <w:name w:val="Normal (Web)"/>
    <w:basedOn w:val="a"/>
    <w:uiPriority w:val="99"/>
    <w:rsid w:val="00674868"/>
    <w:pPr>
      <w:spacing w:before="100" w:beforeAutospacing="1" w:after="100" w:afterAutospacing="1" w:line="240" w:lineRule="auto"/>
    </w:pPr>
    <w:rPr>
      <w:rFonts w:ascii="Times New Roman" w:hAnsi="Times New Roman" w:cs="Times New Roman"/>
      <w:sz w:val="24"/>
      <w:szCs w:val="24"/>
    </w:rPr>
  </w:style>
  <w:style w:type="paragraph" w:customStyle="1" w:styleId="11">
    <w:name w:val="Абзац списка1"/>
    <w:basedOn w:val="a"/>
    <w:qFormat/>
    <w:rsid w:val="00674868"/>
    <w:pPr>
      <w:spacing w:after="0" w:line="360" w:lineRule="auto"/>
      <w:ind w:left="720"/>
      <w:contextualSpacing/>
      <w:jc w:val="both"/>
    </w:pPr>
    <w:rPr>
      <w:rFonts w:ascii="Sylfaen" w:eastAsia="Calibri" w:hAnsi="Sylfaen" w:cs="Times New Roman"/>
      <w:sz w:val="24"/>
      <w:szCs w:val="24"/>
      <w:lang w:val="en-US" w:eastAsia="en-US"/>
    </w:rPr>
  </w:style>
  <w:style w:type="character" w:customStyle="1" w:styleId="apple-converted-space">
    <w:name w:val="apple-converted-space"/>
    <w:rsid w:val="00674868"/>
    <w:rPr>
      <w:rFonts w:cs="Times New Roman"/>
    </w:rPr>
  </w:style>
  <w:style w:type="character" w:styleId="a6">
    <w:name w:val="Strong"/>
    <w:qFormat/>
    <w:rsid w:val="00674868"/>
    <w:rPr>
      <w:b/>
    </w:rPr>
  </w:style>
  <w:style w:type="character" w:customStyle="1" w:styleId="apple-style-span">
    <w:name w:val="apple-style-span"/>
    <w:rsid w:val="00674868"/>
    <w:rPr>
      <w:rFonts w:cs="Times New Roman"/>
    </w:rPr>
  </w:style>
  <w:style w:type="character" w:styleId="a7">
    <w:name w:val="Emphasis"/>
    <w:qFormat/>
    <w:rsid w:val="00674868"/>
    <w:rPr>
      <w:rFonts w:cs="Times New Roman"/>
      <w:i/>
      <w:iCs/>
    </w:rPr>
  </w:style>
  <w:style w:type="paragraph" w:styleId="a8">
    <w:name w:val="Subtitle"/>
    <w:basedOn w:val="a"/>
    <w:next w:val="a"/>
    <w:link w:val="a9"/>
    <w:qFormat/>
    <w:rsid w:val="00674868"/>
    <w:pPr>
      <w:numPr>
        <w:ilvl w:val="1"/>
      </w:numPr>
    </w:pPr>
    <w:rPr>
      <w:rFonts w:ascii="Cambria" w:eastAsia="Calibri" w:hAnsi="Cambria" w:cs="Times New Roman"/>
      <w:i/>
      <w:iCs/>
      <w:color w:val="4F81BD"/>
      <w:spacing w:val="15"/>
      <w:sz w:val="24"/>
      <w:szCs w:val="24"/>
      <w:lang w:eastAsia="en-US"/>
    </w:rPr>
  </w:style>
  <w:style w:type="character" w:customStyle="1" w:styleId="a9">
    <w:name w:val="Подзаголовок Знак"/>
    <w:basedOn w:val="a0"/>
    <w:link w:val="a8"/>
    <w:rsid w:val="00674868"/>
    <w:rPr>
      <w:rFonts w:ascii="Cambria" w:eastAsia="Calibri" w:hAnsi="Cambria" w:cs="Times New Roman"/>
      <w:i/>
      <w:iCs/>
      <w:color w:val="4F81BD"/>
      <w:spacing w:val="15"/>
      <w:sz w:val="24"/>
      <w:szCs w:val="24"/>
    </w:rPr>
  </w:style>
  <w:style w:type="paragraph" w:customStyle="1" w:styleId="21">
    <w:name w:val="Цитата 21"/>
    <w:basedOn w:val="a"/>
    <w:next w:val="a"/>
    <w:link w:val="QuoteChar"/>
    <w:rsid w:val="00674868"/>
    <w:rPr>
      <w:rFonts w:cs="Times New Roman"/>
      <w:i/>
      <w:iCs/>
      <w:color w:val="000000"/>
      <w:lang w:eastAsia="en-US"/>
    </w:rPr>
  </w:style>
  <w:style w:type="character" w:customStyle="1" w:styleId="QuoteChar">
    <w:name w:val="Quote Char"/>
    <w:link w:val="21"/>
    <w:locked/>
    <w:rsid w:val="00674868"/>
    <w:rPr>
      <w:rFonts w:ascii="Calibri" w:eastAsia="Times New Roman" w:hAnsi="Calibri" w:cs="Times New Roman"/>
      <w:i/>
      <w:iCs/>
      <w:color w:val="000000"/>
    </w:rPr>
  </w:style>
  <w:style w:type="paragraph" w:customStyle="1" w:styleId="12">
    <w:name w:val="Выделенная цитата1"/>
    <w:basedOn w:val="a"/>
    <w:next w:val="a"/>
    <w:link w:val="IntenseQuoteChar"/>
    <w:rsid w:val="00674868"/>
    <w:pPr>
      <w:pBdr>
        <w:bottom w:val="single" w:sz="4" w:space="4" w:color="4F81BD"/>
      </w:pBdr>
      <w:spacing w:before="200" w:after="280"/>
      <w:ind w:left="936" w:right="936"/>
    </w:pPr>
    <w:rPr>
      <w:rFonts w:cs="Times New Roman"/>
      <w:b/>
      <w:bCs/>
      <w:i/>
      <w:iCs/>
      <w:color w:val="4F81BD"/>
      <w:lang w:eastAsia="en-US"/>
    </w:rPr>
  </w:style>
  <w:style w:type="character" w:customStyle="1" w:styleId="IntenseQuoteChar">
    <w:name w:val="Intense Quote Char"/>
    <w:link w:val="12"/>
    <w:locked/>
    <w:rsid w:val="00674868"/>
    <w:rPr>
      <w:rFonts w:ascii="Calibri" w:eastAsia="Times New Roman" w:hAnsi="Calibri" w:cs="Times New Roman"/>
      <w:b/>
      <w:bCs/>
      <w:i/>
      <w:iCs/>
      <w:color w:val="4F81BD"/>
    </w:rPr>
  </w:style>
  <w:style w:type="paragraph" w:styleId="aa">
    <w:name w:val="List Paragraph"/>
    <w:basedOn w:val="a"/>
    <w:qFormat/>
    <w:rsid w:val="00674868"/>
    <w:pPr>
      <w:ind w:left="708"/>
    </w:pPr>
    <w:rPr>
      <w:rFonts w:ascii="GHEA Grapalat" w:hAnsi="GHEA Grapalat" w:cs="Times New Roman"/>
      <w:sz w:val="24"/>
      <w:lang w:val="en-US" w:eastAsia="en-US"/>
    </w:rPr>
  </w:style>
  <w:style w:type="paragraph" w:styleId="ab">
    <w:name w:val="Balloon Text"/>
    <w:basedOn w:val="a"/>
    <w:link w:val="ac"/>
    <w:rsid w:val="00674868"/>
    <w:pPr>
      <w:spacing w:after="0" w:line="240" w:lineRule="auto"/>
    </w:pPr>
    <w:rPr>
      <w:rFonts w:ascii="Tahoma" w:hAnsi="Tahoma" w:cs="Tahoma"/>
      <w:sz w:val="16"/>
      <w:szCs w:val="16"/>
    </w:rPr>
  </w:style>
  <w:style w:type="character" w:customStyle="1" w:styleId="ac">
    <w:name w:val="Текст выноски Знак"/>
    <w:basedOn w:val="a0"/>
    <w:link w:val="ab"/>
    <w:rsid w:val="0067486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5708">
      <w:bodyDiv w:val="1"/>
      <w:marLeft w:val="0"/>
      <w:marRight w:val="0"/>
      <w:marTop w:val="0"/>
      <w:marBottom w:val="0"/>
      <w:divBdr>
        <w:top w:val="none" w:sz="0" w:space="0" w:color="auto"/>
        <w:left w:val="none" w:sz="0" w:space="0" w:color="auto"/>
        <w:bottom w:val="none" w:sz="0" w:space="0" w:color="auto"/>
        <w:right w:val="none" w:sz="0" w:space="0" w:color="auto"/>
      </w:divBdr>
      <w:divsChild>
        <w:div w:id="135337083">
          <w:marLeft w:val="0"/>
          <w:marRight w:val="0"/>
          <w:marTop w:val="0"/>
          <w:marBottom w:val="0"/>
          <w:divBdr>
            <w:top w:val="none" w:sz="0" w:space="0" w:color="auto"/>
            <w:left w:val="none" w:sz="0" w:space="0" w:color="auto"/>
            <w:bottom w:val="none" w:sz="0" w:space="0" w:color="auto"/>
            <w:right w:val="none" w:sz="0" w:space="0" w:color="auto"/>
          </w:divBdr>
        </w:div>
      </w:divsChild>
    </w:div>
    <w:div w:id="2087072944">
      <w:bodyDiv w:val="1"/>
      <w:marLeft w:val="0"/>
      <w:marRight w:val="0"/>
      <w:marTop w:val="0"/>
      <w:marBottom w:val="0"/>
      <w:divBdr>
        <w:top w:val="none" w:sz="0" w:space="0" w:color="auto"/>
        <w:left w:val="none" w:sz="0" w:space="0" w:color="auto"/>
        <w:bottom w:val="none" w:sz="0" w:space="0" w:color="auto"/>
        <w:right w:val="none" w:sz="0" w:space="0" w:color="auto"/>
      </w:divBdr>
      <w:divsChild>
        <w:div w:id="39840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2885</Words>
  <Characters>16449</Characters>
  <Application>Microsoft Office Word</Application>
  <DocSecurity>0</DocSecurity>
  <Lines>137</Lines>
  <Paragraphs>38</Paragraphs>
  <ScaleCrop>false</ScaleCrop>
  <Company>SPecialiST RePack</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2017-02-10T12:16:00Z</dcterms:created>
  <dcterms:modified xsi:type="dcterms:W3CDTF">2017-03-01T06:48:00Z</dcterms:modified>
</cp:coreProperties>
</file>