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A8" w:rsidRDefault="001F6EA8">
      <w:pPr>
        <w:rPr>
          <w:lang w:val="hy-AM"/>
        </w:rPr>
      </w:pPr>
      <w:bookmarkStart w:id="0" w:name="_GoBack"/>
      <w:bookmarkEnd w:id="0"/>
    </w:p>
    <w:p w:rsidR="003B50B7" w:rsidRDefault="003B50B7" w:rsidP="003B50B7">
      <w:pPr>
        <w:spacing w:line="276" w:lineRule="auto"/>
        <w:ind w:firstLine="709"/>
        <w:jc w:val="center"/>
        <w:rPr>
          <w:rFonts w:cs="Arial"/>
          <w:b/>
          <w:sz w:val="32"/>
          <w:szCs w:val="32"/>
          <w:lang w:val="hy-AM"/>
        </w:rPr>
      </w:pPr>
      <w:r w:rsidRPr="00801900">
        <w:rPr>
          <w:rFonts w:cs="Arial"/>
          <w:b/>
          <w:sz w:val="32"/>
          <w:szCs w:val="32"/>
          <w:lang w:val="hy-AM"/>
        </w:rPr>
        <w:t xml:space="preserve">ԱՄՓՈՓ ՏԵՂԵԿԱՏՎՈՒԹՅՈՒՆ ՀՀ ՍՅՈՒՆԻՔԻ ՄԱՐԶԻ ՏԵՐՏԵՐԱՍԱՐԻ </w:t>
      </w:r>
      <w:r w:rsidRPr="003B50B7">
        <w:rPr>
          <w:rFonts w:cs="Arial"/>
          <w:b/>
          <w:sz w:val="32"/>
          <w:szCs w:val="32"/>
          <w:lang w:val="hy-AM"/>
        </w:rPr>
        <w:t xml:space="preserve">ՈՍԿՈՒ </w:t>
      </w:r>
      <w:r w:rsidRPr="00801900">
        <w:rPr>
          <w:rFonts w:cs="Arial"/>
          <w:b/>
          <w:sz w:val="32"/>
          <w:szCs w:val="32"/>
          <w:lang w:val="hy-AM"/>
        </w:rPr>
        <w:t>ՀԱՆՔԱՎԱՅՐԻ</w:t>
      </w:r>
      <w:r w:rsidRPr="003B50B7">
        <w:rPr>
          <w:rFonts w:cs="Arial"/>
          <w:b/>
          <w:sz w:val="32"/>
          <w:szCs w:val="32"/>
          <w:lang w:val="hy-AM"/>
        </w:rPr>
        <w:t xml:space="preserve"> ՊԱՇԱՐՆԵՐԻ ՎԵՐԱԳՆԱՀԱՏՄԱՆ ՆՊԱՏԱԿՈՎ ԵՐԿՐԱԲԱՆԱԿԱՆ </w:t>
      </w:r>
      <w:r>
        <w:rPr>
          <w:rFonts w:cs="Arial"/>
          <w:b/>
          <w:sz w:val="32"/>
          <w:szCs w:val="32"/>
          <w:lang w:val="hy-AM"/>
        </w:rPr>
        <w:t>ՈՒՍՈՒՄՆԱՍԻ</w:t>
      </w:r>
      <w:r w:rsidRPr="003B50B7">
        <w:rPr>
          <w:rFonts w:cs="Arial"/>
          <w:b/>
          <w:sz w:val="32"/>
          <w:szCs w:val="32"/>
          <w:lang w:val="hy-AM"/>
        </w:rPr>
        <w:t>ՐՈՒԹՅԱՆ ԱՇԽԱՏԱՆՔՆԵՐԻ</w:t>
      </w:r>
      <w:r w:rsidRPr="00801900">
        <w:rPr>
          <w:rFonts w:cs="Arial"/>
          <w:b/>
          <w:sz w:val="32"/>
          <w:szCs w:val="32"/>
          <w:lang w:val="hy-AM"/>
        </w:rPr>
        <w:t xml:space="preserve"> ՎԵՐԱԲԵՐՅԱԼ</w:t>
      </w:r>
    </w:p>
    <w:p w:rsidR="003B50B7" w:rsidRPr="00801900" w:rsidRDefault="003B50B7" w:rsidP="003B50B7">
      <w:pPr>
        <w:spacing w:line="276" w:lineRule="auto"/>
        <w:ind w:firstLine="709"/>
        <w:jc w:val="center"/>
        <w:rPr>
          <w:rFonts w:cs="Arial"/>
          <w:b/>
          <w:sz w:val="32"/>
          <w:szCs w:val="32"/>
          <w:lang w:val="hy-AM"/>
        </w:rPr>
      </w:pPr>
    </w:p>
    <w:p w:rsidR="003B50B7" w:rsidRDefault="003B50B7" w:rsidP="003B50B7">
      <w:pPr>
        <w:jc w:val="both"/>
        <w:rPr>
          <w:lang w:val="hy-AM"/>
        </w:rPr>
      </w:pPr>
      <w:r w:rsidRPr="00CE4C2A">
        <w:rPr>
          <w:lang w:val="hy-AM"/>
        </w:rPr>
        <w:t xml:space="preserve">«ՍԻԼՎԻ ԷՅՋԻ» ՍՊԸ-ն նախատեսում է </w:t>
      </w:r>
      <w:r w:rsidRPr="003B50B7">
        <w:rPr>
          <w:lang w:val="hy-AM"/>
        </w:rPr>
        <w:t>իրականացնել Տերտերասարի ոսկու հանքավայրի պաշարների վերագնահատման նպատակով երկրաբանական ուսումնասիրության աշխատանքներ</w:t>
      </w:r>
      <w:r w:rsidRPr="00CE4C2A">
        <w:rPr>
          <w:lang w:val="hy-AM"/>
        </w:rPr>
        <w:t>:</w:t>
      </w:r>
    </w:p>
    <w:p w:rsidR="003B50B7" w:rsidRPr="003B50B7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3B50B7">
        <w:rPr>
          <w:lang w:val="hy-AM"/>
        </w:rPr>
        <w:t>Հանքավայրի պաշարների վերագնահատման  նպատակով  նախատեսվում է  կատարել հանքավայրի  լրահետախուզում  երկրաբանական աշխատանքների հետևալ ծավալներով:</w:t>
      </w:r>
    </w:p>
    <w:p w:rsidR="003B50B7" w:rsidRPr="003B50B7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3B50B7">
        <w:rPr>
          <w:lang w:val="hy-AM"/>
        </w:rPr>
        <w:t>Համար 3 բովանցքի հորիզոնից  3րդ հանքային մարմնի տարածման ուղղությամբ  համար 2 հանքուղուց , միմյանցից 50 մետր հեռավորությամբ մինչև 100մ խորությամբ  կհորատվեն  4 հորատանցքեր :</w:t>
      </w:r>
    </w:p>
    <w:p w:rsidR="003B50B7" w:rsidRPr="003B50B7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3B50B7">
        <w:rPr>
          <w:lang w:val="hy-AM"/>
        </w:rPr>
        <w:t>Հորատանցքերի  հորատման նպատակով համար 2  շտրեկում կանցնեն մինչև 30մ երկարությամբ 4 քվերշլագներ :</w:t>
      </w:r>
    </w:p>
    <w:p w:rsidR="003B50B7" w:rsidRPr="003B50B7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3B50B7">
        <w:rPr>
          <w:lang w:val="hy-AM"/>
        </w:rPr>
        <w:t xml:space="preserve"> Նախատեսվում է  թվայնացնել  թիվ 3 և 4 բովանցքների  Հորիզոնների նմուշարկման հատակագծերը և վերանմուշարկել  համար 4 բովանցքի հորիզոնը :</w:t>
      </w:r>
    </w:p>
    <w:p w:rsidR="003B50B7" w:rsidRPr="003B50B7" w:rsidRDefault="003B50B7" w:rsidP="003B50B7">
      <w:pPr>
        <w:spacing w:line="276" w:lineRule="auto"/>
        <w:ind w:right="7" w:firstLine="709"/>
        <w:jc w:val="both"/>
        <w:rPr>
          <w:lang w:val="hy-AM"/>
        </w:rPr>
      </w:pPr>
    </w:p>
    <w:p w:rsidR="003B50B7" w:rsidRDefault="003B50B7" w:rsidP="003B50B7">
      <w:pPr>
        <w:jc w:val="center"/>
        <w:rPr>
          <w:lang w:val="hy-AM"/>
        </w:rPr>
      </w:pPr>
      <w:r>
        <w:rPr>
          <w:lang w:val="hy-AM"/>
        </w:rPr>
        <w:t>Դաշտային աշխատանքների ծավալների աղյուսակ</w:t>
      </w:r>
    </w:p>
    <w:p w:rsidR="003B50B7" w:rsidRDefault="003B50B7" w:rsidP="003B50B7">
      <w:pPr>
        <w:jc w:val="center"/>
        <w:rPr>
          <w:lang w:val="hy-A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2694"/>
      </w:tblGrid>
      <w:tr w:rsidR="003B50B7" w:rsidTr="002072D9">
        <w:tc>
          <w:tcPr>
            <w:tcW w:w="37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Աշխատանքների անվանումը</w:t>
            </w:r>
          </w:p>
        </w:tc>
        <w:tc>
          <w:tcPr>
            <w:tcW w:w="1417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Չափի միավորը</w:t>
            </w:r>
          </w:p>
        </w:tc>
        <w:tc>
          <w:tcPr>
            <w:tcW w:w="26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Քանկը</w:t>
            </w:r>
          </w:p>
        </w:tc>
      </w:tr>
      <w:tr w:rsidR="003B50B7" w:rsidTr="002072D9">
        <w:tc>
          <w:tcPr>
            <w:tcW w:w="3794" w:type="dxa"/>
          </w:tcPr>
          <w:p w:rsidR="003B50B7" w:rsidRDefault="003B50B7" w:rsidP="002072D9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 xml:space="preserve">Համար 4 բովանցք  շտրեկ 2  նմու- շարկում </w:t>
            </w:r>
          </w:p>
        </w:tc>
        <w:tc>
          <w:tcPr>
            <w:tcW w:w="1417" w:type="dxa"/>
          </w:tcPr>
          <w:p w:rsidR="003B50B7" w:rsidRDefault="003B50B7" w:rsidP="002072D9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>Նմուշ</w:t>
            </w:r>
          </w:p>
        </w:tc>
        <w:tc>
          <w:tcPr>
            <w:tcW w:w="26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100</w:t>
            </w:r>
          </w:p>
        </w:tc>
      </w:tr>
      <w:tr w:rsidR="003B50B7" w:rsidTr="002072D9">
        <w:tc>
          <w:tcPr>
            <w:tcW w:w="37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Հանուկային նմուշներ</w:t>
            </w:r>
          </w:p>
        </w:tc>
        <w:tc>
          <w:tcPr>
            <w:tcW w:w="1417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նմուշ</w:t>
            </w:r>
          </w:p>
        </w:tc>
        <w:tc>
          <w:tcPr>
            <w:tcW w:w="26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200</w:t>
            </w:r>
          </w:p>
        </w:tc>
      </w:tr>
      <w:tr w:rsidR="003B50B7" w:rsidTr="002072D9">
        <w:tc>
          <w:tcPr>
            <w:tcW w:w="37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Սյունակային հորատում </w:t>
            </w:r>
          </w:p>
        </w:tc>
        <w:tc>
          <w:tcPr>
            <w:tcW w:w="1417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մետր</w:t>
            </w:r>
          </w:p>
        </w:tc>
        <w:tc>
          <w:tcPr>
            <w:tcW w:w="26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300</w:t>
            </w:r>
          </w:p>
        </w:tc>
      </w:tr>
      <w:tr w:rsidR="003B50B7" w:rsidTr="002072D9">
        <w:tc>
          <w:tcPr>
            <w:tcW w:w="37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Համար 3 բովանցքի թիվ2շտրեկ քվերշլագ 1</w:t>
            </w:r>
          </w:p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Քվերշլագ2</w:t>
            </w:r>
          </w:p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քվերշլագ 3</w:t>
            </w:r>
          </w:p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Քվերշլագ4</w:t>
            </w:r>
          </w:p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Ընդամենը</w:t>
            </w:r>
          </w:p>
        </w:tc>
        <w:tc>
          <w:tcPr>
            <w:tcW w:w="1417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</w:p>
          <w:p w:rsidR="003B50B7" w:rsidRDefault="003B50B7" w:rsidP="002072D9">
            <w:pPr>
              <w:jc w:val="center"/>
              <w:rPr>
                <w:lang w:val="hy-AM"/>
              </w:rPr>
            </w:pPr>
          </w:p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մետր</w:t>
            </w:r>
          </w:p>
        </w:tc>
        <w:tc>
          <w:tcPr>
            <w:tcW w:w="26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</w:p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30</w:t>
            </w:r>
          </w:p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30</w:t>
            </w:r>
          </w:p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30</w:t>
            </w:r>
          </w:p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30</w:t>
            </w:r>
          </w:p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120</w:t>
            </w:r>
          </w:p>
        </w:tc>
      </w:tr>
      <w:tr w:rsidR="003B50B7" w:rsidTr="002072D9">
        <w:tc>
          <w:tcPr>
            <w:tcW w:w="37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Երկրաբանական փաս</w:t>
            </w:r>
            <w:r>
              <w:rPr>
                <w:lang w:val="en-US"/>
              </w:rPr>
              <w:t>տ</w:t>
            </w:r>
            <w:r>
              <w:rPr>
                <w:lang w:val="hy-AM"/>
              </w:rPr>
              <w:t>ագրում</w:t>
            </w:r>
          </w:p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և թվայնացում  </w:t>
            </w:r>
          </w:p>
        </w:tc>
        <w:tc>
          <w:tcPr>
            <w:tcW w:w="1417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</w:p>
        </w:tc>
        <w:tc>
          <w:tcPr>
            <w:tcW w:w="26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</w:p>
        </w:tc>
      </w:tr>
      <w:tr w:rsidR="003B50B7" w:rsidTr="002072D9">
        <w:tc>
          <w:tcPr>
            <w:tcW w:w="37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Դաշտային աշխատանքների տևողությումը </w:t>
            </w:r>
          </w:p>
        </w:tc>
        <w:tc>
          <w:tcPr>
            <w:tcW w:w="1417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</w:p>
        </w:tc>
        <w:tc>
          <w:tcPr>
            <w:tcW w:w="26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18 ամիս</w:t>
            </w:r>
          </w:p>
        </w:tc>
      </w:tr>
      <w:tr w:rsidR="003B50B7" w:rsidTr="002072D9">
        <w:tc>
          <w:tcPr>
            <w:tcW w:w="3794" w:type="dxa"/>
          </w:tcPr>
          <w:p w:rsidR="003B50B7" w:rsidRDefault="003B50B7" w:rsidP="002072D9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 xml:space="preserve">Հաշվետվության կազմում պաշար ների հաշվարկմամբ և ՏՏԳ կազմում </w:t>
            </w:r>
          </w:p>
        </w:tc>
        <w:tc>
          <w:tcPr>
            <w:tcW w:w="1417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</w:p>
        </w:tc>
        <w:tc>
          <w:tcPr>
            <w:tcW w:w="2694" w:type="dxa"/>
          </w:tcPr>
          <w:p w:rsidR="003B50B7" w:rsidRDefault="003B50B7" w:rsidP="002072D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6 ամիս </w:t>
            </w:r>
          </w:p>
        </w:tc>
      </w:tr>
    </w:tbl>
    <w:p w:rsidR="003B50B7" w:rsidRDefault="003B50B7" w:rsidP="003B50B7">
      <w:pPr>
        <w:jc w:val="center"/>
        <w:rPr>
          <w:lang w:val="hy-AM"/>
        </w:rPr>
      </w:pPr>
    </w:p>
    <w:p w:rsidR="003B50B7" w:rsidRDefault="003B50B7" w:rsidP="003B50B7">
      <w:pPr>
        <w:jc w:val="center"/>
        <w:rPr>
          <w:lang w:val="hy-AM"/>
        </w:rPr>
      </w:pPr>
    </w:p>
    <w:p w:rsidR="003B50B7" w:rsidRDefault="003B50B7" w:rsidP="003B50B7">
      <w:pPr>
        <w:jc w:val="center"/>
        <w:rPr>
          <w:lang w:val="hy-AM"/>
        </w:rPr>
      </w:pPr>
    </w:p>
    <w:p w:rsidR="003B50B7" w:rsidRDefault="003B50B7" w:rsidP="003B50B7">
      <w:pPr>
        <w:jc w:val="center"/>
        <w:rPr>
          <w:lang w:val="hy-AM"/>
        </w:rPr>
      </w:pPr>
    </w:p>
    <w:p w:rsidR="003B50B7" w:rsidRDefault="003B50B7" w:rsidP="003B50B7">
      <w:pPr>
        <w:jc w:val="center"/>
        <w:rPr>
          <w:lang w:val="hy-AM"/>
        </w:rPr>
      </w:pPr>
    </w:p>
    <w:p w:rsidR="003B50B7" w:rsidRDefault="003B50B7" w:rsidP="003B50B7">
      <w:pPr>
        <w:jc w:val="center"/>
        <w:rPr>
          <w:lang w:val="hy-AM"/>
        </w:rPr>
      </w:pPr>
    </w:p>
    <w:p w:rsidR="003B50B7" w:rsidRDefault="003B50B7" w:rsidP="003B50B7">
      <w:pPr>
        <w:jc w:val="center"/>
        <w:rPr>
          <w:lang w:val="hy-AM"/>
        </w:rPr>
      </w:pPr>
    </w:p>
    <w:p w:rsidR="003B50B7" w:rsidRPr="00801900" w:rsidRDefault="003B50B7" w:rsidP="003B50B7">
      <w:pPr>
        <w:spacing w:line="276" w:lineRule="auto"/>
        <w:ind w:firstLine="709"/>
        <w:jc w:val="center"/>
        <w:rPr>
          <w:rFonts w:cs="Arial"/>
          <w:b/>
          <w:sz w:val="32"/>
          <w:szCs w:val="32"/>
          <w:lang w:val="hy-AM"/>
        </w:rPr>
      </w:pPr>
      <w:r w:rsidRPr="00801900">
        <w:rPr>
          <w:rFonts w:cs="Arial"/>
          <w:b/>
          <w:sz w:val="32"/>
          <w:szCs w:val="32"/>
          <w:lang w:val="hy-AM"/>
        </w:rPr>
        <w:lastRenderedPageBreak/>
        <w:t>ԱՄՓՈՓ ՏԵՂԵԿԱՏՎՈՒԹՅՈՒՆ ՀՀ ՍՅՈՒՆԻՔԻ ՄԱՐԶԻ ՏԵՐՏԵՐԱՍԱՐԻ ՀԱՆՔԱՎԱՅՐԻ ՎԵՐԱԲԵՐՅԱԼ</w:t>
      </w:r>
    </w:p>
    <w:p w:rsidR="003B50B7" w:rsidRPr="00CE4C2A" w:rsidRDefault="003B50B7" w:rsidP="003B50B7">
      <w:pPr>
        <w:jc w:val="both"/>
        <w:rPr>
          <w:lang w:val="hy-AM"/>
        </w:rPr>
      </w:pPr>
    </w:p>
    <w:p w:rsidR="003B50B7" w:rsidRPr="00801900" w:rsidRDefault="003B50B7" w:rsidP="003B50B7">
      <w:pPr>
        <w:spacing w:line="276" w:lineRule="auto"/>
        <w:ind w:firstLine="709"/>
        <w:jc w:val="both"/>
        <w:rPr>
          <w:rFonts w:cs="Arial"/>
          <w:lang w:val="hy-AM"/>
        </w:rPr>
      </w:pPr>
      <w:r w:rsidRPr="00CE4C2A">
        <w:rPr>
          <w:rFonts w:cs="Arial"/>
          <w:lang w:val="hy-AM"/>
        </w:rPr>
        <w:t>Տերտերասարի ոսկու հանքավայրը գտնվում է ՀՀ Սյունիքի մարզում, Մեղրի քաղաքից 23 կմ հեռավորության վրա: Մեղրի-Երևան ավտոմայրուղու</w:t>
      </w:r>
      <w:r w:rsidRPr="00801900">
        <w:rPr>
          <w:rFonts w:cs="Arial"/>
          <w:lang w:val="hy-AM"/>
        </w:rPr>
        <w:t xml:space="preserve"> հետ այն կապված է 4,5 կմ երկարությամբ գրունտային ճանապարհով: </w:t>
      </w:r>
    </w:p>
    <w:p w:rsidR="003B50B7" w:rsidRPr="00801900" w:rsidRDefault="003B50B7" w:rsidP="003B50B7">
      <w:pPr>
        <w:spacing w:line="276" w:lineRule="auto"/>
        <w:ind w:firstLine="709"/>
        <w:jc w:val="both"/>
        <w:rPr>
          <w:rFonts w:cs="Arial"/>
          <w:lang w:val="hy-AM"/>
        </w:rPr>
      </w:pPr>
      <w:r w:rsidRPr="00801900">
        <w:rPr>
          <w:rFonts w:cs="Arial"/>
          <w:lang w:val="hy-AM"/>
        </w:rPr>
        <w:t xml:space="preserve">Հանքավայրի մակերևույթի բացարձակ նիշերը տատանվում են </w:t>
      </w:r>
      <w:r w:rsidRPr="00801900">
        <w:rPr>
          <w:rFonts w:cs="Arial"/>
          <w:lang w:val="hy-AM"/>
        </w:rPr>
        <w:softHyphen/>
        <w:t>1500-ից 2100 մ-ի սահ</w:t>
      </w:r>
      <w:r w:rsidRPr="00801900">
        <w:rPr>
          <w:rFonts w:cs="Arial"/>
          <w:lang w:val="hy-AM"/>
        </w:rPr>
        <w:softHyphen/>
      </w:r>
      <w:r w:rsidRPr="00801900">
        <w:rPr>
          <w:rFonts w:cs="Arial"/>
          <w:lang w:val="hy-AM"/>
        </w:rPr>
        <w:softHyphen/>
      </w:r>
      <w:r w:rsidRPr="00801900">
        <w:rPr>
          <w:rFonts w:cs="Arial"/>
          <w:lang w:val="hy-AM"/>
        </w:rPr>
        <w:softHyphen/>
        <w:t>մաններում:</w:t>
      </w:r>
    </w:p>
    <w:p w:rsidR="003B50B7" w:rsidRPr="00801900" w:rsidRDefault="003B50B7" w:rsidP="003B50B7">
      <w:pPr>
        <w:spacing w:line="276" w:lineRule="auto"/>
        <w:ind w:firstLine="709"/>
        <w:jc w:val="both"/>
        <w:rPr>
          <w:rFonts w:cs="Arial"/>
          <w:lang w:val="hy-AM"/>
        </w:rPr>
      </w:pPr>
      <w:r w:rsidRPr="00801900">
        <w:rPr>
          <w:rFonts w:cs="Arial"/>
          <w:lang w:val="hy-AM"/>
        </w:rPr>
        <w:t>Շրջանի կլիման մերձարևադարձային է՝ անմիջապես հանքավայրի տարածքում բավականին հով ամառով և մեղմ ձմեռով:  Տեղումների տարեկան քանակը հասնում է 500-600 մմ: Օդի միջին տարեկան ջերմաստիճանը կազ</w:t>
      </w:r>
      <w:r w:rsidRPr="00801900">
        <w:rPr>
          <w:rFonts w:cs="Arial"/>
          <w:lang w:val="hy-AM"/>
        </w:rPr>
        <w:softHyphen/>
        <w:t>մում է մոտ +12</w:t>
      </w:r>
      <w:r w:rsidRPr="00801900">
        <w:rPr>
          <w:rFonts w:cs="Arial"/>
          <w:vertAlign w:val="superscript"/>
          <w:lang w:val="hy-AM"/>
        </w:rPr>
        <w:t>Օ</w:t>
      </w:r>
      <w:r w:rsidRPr="00801900">
        <w:rPr>
          <w:rFonts w:cs="Arial"/>
          <w:lang w:val="hy-AM"/>
        </w:rPr>
        <w:t xml:space="preserve"> C:</w:t>
      </w:r>
    </w:p>
    <w:p w:rsidR="003B50B7" w:rsidRPr="00801900" w:rsidRDefault="003B50B7" w:rsidP="003B50B7">
      <w:pPr>
        <w:spacing w:line="276" w:lineRule="auto"/>
        <w:ind w:firstLine="709"/>
        <w:jc w:val="both"/>
        <w:rPr>
          <w:rFonts w:cs="Arial"/>
          <w:lang w:val="hy-AM"/>
        </w:rPr>
      </w:pPr>
      <w:r w:rsidRPr="00801900">
        <w:rPr>
          <w:rFonts w:cs="Arial"/>
          <w:lang w:val="hy-AM"/>
        </w:rPr>
        <w:t xml:space="preserve">Շրջանի սեյսմակայունությունը բնութագրվում է 8-9 բալայնությամբ: </w:t>
      </w:r>
    </w:p>
    <w:p w:rsidR="003B50B7" w:rsidRDefault="003B50B7" w:rsidP="003B50B7">
      <w:pPr>
        <w:jc w:val="both"/>
        <w:rPr>
          <w:lang w:val="hy-AM"/>
        </w:rPr>
      </w:pPr>
      <w:r w:rsidRPr="00CE4C2A">
        <w:rPr>
          <w:lang w:val="hy-AM"/>
        </w:rPr>
        <w:t>Ստորև ներկայացվում է հանքավայրի իկրավիճակային հատակագիծը Google earth ծրագրով՝</w:t>
      </w:r>
    </w:p>
    <w:p w:rsidR="003B50B7" w:rsidRPr="00CE4C2A" w:rsidRDefault="003B50B7" w:rsidP="003B50B7">
      <w:pPr>
        <w:jc w:val="both"/>
        <w:rPr>
          <w:lang w:val="hy-AM"/>
        </w:rPr>
      </w:pPr>
      <w:r w:rsidRPr="00CE4C2A">
        <w:rPr>
          <w:noProof/>
          <w:lang w:eastAsia="ru-RU"/>
        </w:rPr>
        <w:drawing>
          <wp:inline distT="0" distB="0" distL="0" distR="0" wp14:anchorId="72B937A2" wp14:editId="46982C79">
            <wp:extent cx="5940425" cy="29120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>Տերտերասարի հանքավայրը հայտնաբերվել է դեռևս 1972 թ-ին Հայաստանի երկրա</w:t>
      </w:r>
      <w:r w:rsidRPr="00801900">
        <w:rPr>
          <w:lang w:val="hy-AM"/>
        </w:rPr>
        <w:softHyphen/>
      </w:r>
      <w:r w:rsidRPr="00801900">
        <w:rPr>
          <w:lang w:val="hy-AM"/>
        </w:rPr>
        <w:softHyphen/>
        <w:t>բանական վարչության կողմից շրջանում իրականացված որոնողական աշխատանք</w:t>
      </w:r>
      <w:r w:rsidRPr="00801900">
        <w:rPr>
          <w:lang w:val="hy-AM"/>
        </w:rPr>
        <w:softHyphen/>
      </w:r>
      <w:r w:rsidRPr="00801900">
        <w:rPr>
          <w:lang w:val="hy-AM"/>
        </w:rPr>
        <w:softHyphen/>
      </w:r>
      <w:r w:rsidRPr="00801900">
        <w:rPr>
          <w:lang w:val="hy-AM"/>
        </w:rPr>
        <w:softHyphen/>
        <w:t xml:space="preserve">ների արդյունքում: 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>Հանքավայրի մանրազնին հետախուզման փուլը ավարտվել է 1985 թ-ին մշակված ամփոփ հաշվետվության [1] և ՏՏՀ-ի [2] տվյալներով  դրա կոնդիցիաների պարա-մետրերի և պաշարների հաստատմամբ [3, 4]: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>Կատարված աշխատանքներով փաստվել էր, որ հանքավայրում առկա չորս երա-կա</w:t>
      </w:r>
      <w:r w:rsidRPr="00801900">
        <w:rPr>
          <w:lang w:val="hy-AM"/>
        </w:rPr>
        <w:softHyphen/>
        <w:t xml:space="preserve">ձև հանքամարմիններից միայն երկուսը (թիվ 1 և 3) ունեն արդյունաբերական նշա-նակություն, որոնք էլ ենթարկվել են մանրազնին հետախուզման: 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>1-ին հանքամարմինը ուսումնասիրվել էր հիմնականում 2046.3, 2004.5, 1950.4, 1871.1 և 1893.8մ բացարձակ նիշեր ունեցող թվով հինգ, իսկ 3-րդը՝ 1995.5, 1950.4, 1871.1 և 1893.8մ բացարձակ նիշեր ունեցող թվով չորս բովանցքային հետախուզահորիզոն</w:t>
      </w:r>
      <w:r w:rsidRPr="00801900">
        <w:rPr>
          <w:lang w:val="hy-AM"/>
        </w:rPr>
        <w:softHyphen/>
        <w:t>ներում երակներն հետամտող և դրանց ամբողջ հզորությունը բնութագրող ստորգետնյա լեռ</w:t>
      </w:r>
      <w:r w:rsidRPr="00801900">
        <w:rPr>
          <w:lang w:val="hy-AM"/>
        </w:rPr>
        <w:softHyphen/>
        <w:t>նային փորվածքներով: Նմուշարկումը կատարվել էր փորվածքների անց</w:t>
      </w:r>
      <w:r w:rsidRPr="00801900">
        <w:rPr>
          <w:lang w:val="hy-AM"/>
        </w:rPr>
        <w:softHyphen/>
        <w:t>կաց</w:t>
      </w:r>
      <w:r w:rsidRPr="00801900">
        <w:rPr>
          <w:lang w:val="hy-AM"/>
        </w:rPr>
        <w:softHyphen/>
        <w:t>մանը զուգ</w:t>
      </w:r>
      <w:r w:rsidRPr="00801900">
        <w:rPr>
          <w:lang w:val="hy-AM"/>
        </w:rPr>
        <w:softHyphen/>
        <w:t>ընթաց, յու</w:t>
      </w:r>
      <w:r w:rsidRPr="00801900">
        <w:rPr>
          <w:lang w:val="hy-AM"/>
        </w:rPr>
        <w:softHyphen/>
        <w:t>րա</w:t>
      </w:r>
      <w:r w:rsidRPr="00801900">
        <w:rPr>
          <w:lang w:val="hy-AM"/>
        </w:rPr>
        <w:softHyphen/>
        <w:t>քանչյուր 2-2.5մ քայլով իրականացված ցիկլից հետո ձևա</w:t>
      </w:r>
      <w:r w:rsidRPr="00801900">
        <w:rPr>
          <w:lang w:val="hy-AM"/>
        </w:rPr>
        <w:softHyphen/>
        <w:t>վորված հանքախորշի  ճա</w:t>
      </w:r>
      <w:r w:rsidRPr="00801900">
        <w:rPr>
          <w:lang w:val="hy-AM"/>
        </w:rPr>
        <w:softHyphen/>
        <w:t xml:space="preserve">կատային մասում մերկացած երակի ամբողջ հզորությունը ընդգրկող, 5х10սմ հատույթ ունեցող հորիզոնական ակոսներով: 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lastRenderedPageBreak/>
        <w:t>Հաշվետվական նյութերում [1, 2] զետեղված տեղեկատվությունը պետական փոր</w:t>
      </w:r>
      <w:r w:rsidRPr="00801900">
        <w:rPr>
          <w:lang w:val="hy-AM"/>
        </w:rPr>
        <w:softHyphen/>
        <w:t>ձա</w:t>
      </w:r>
      <w:r w:rsidRPr="00801900">
        <w:rPr>
          <w:lang w:val="hy-AM"/>
        </w:rPr>
        <w:softHyphen/>
        <w:t>քննությամբ ճանաչվել էր արժանահավատ: Արդյունքում, ԽՍՄՀ ՊՊՀ-ի 30.12.1985թ. № 9902 որո</w:t>
      </w:r>
      <w:r w:rsidRPr="00801900">
        <w:rPr>
          <w:lang w:val="hy-AM"/>
        </w:rPr>
        <w:softHyphen/>
        <w:t>շմամբ [4] 01.06.1985թ-ի դրությամբ հաստատված Տերտերասարի ոսկու հան</w:t>
      </w:r>
      <w:r w:rsidRPr="00801900">
        <w:rPr>
          <w:lang w:val="hy-AM"/>
        </w:rPr>
        <w:softHyphen/>
        <w:t>քա</w:t>
      </w:r>
      <w:r w:rsidRPr="00801900">
        <w:rPr>
          <w:lang w:val="hy-AM"/>
        </w:rPr>
        <w:softHyphen/>
        <w:t>վայրի հանքաքարի, ոսկու, ար</w:t>
      </w:r>
      <w:r w:rsidRPr="00801900">
        <w:rPr>
          <w:lang w:val="hy-AM"/>
        </w:rPr>
        <w:softHyphen/>
        <w:t>ծաթի և պղնձի С</w:t>
      </w:r>
      <w:r w:rsidRPr="00801900">
        <w:rPr>
          <w:vertAlign w:val="subscript"/>
          <w:lang w:val="hy-AM"/>
        </w:rPr>
        <w:t>1</w:t>
      </w:r>
      <w:r w:rsidRPr="00801900">
        <w:rPr>
          <w:lang w:val="hy-AM"/>
        </w:rPr>
        <w:t xml:space="preserve"> + С</w:t>
      </w:r>
      <w:r w:rsidRPr="00801900">
        <w:rPr>
          <w:vertAlign w:val="subscript"/>
          <w:lang w:val="hy-AM"/>
        </w:rPr>
        <w:t>2</w:t>
      </w:r>
      <w:r w:rsidRPr="00801900">
        <w:rPr>
          <w:lang w:val="hy-AM"/>
        </w:rPr>
        <w:t xml:space="preserve"> կարգերի հաշվեկշռային պա</w:t>
      </w:r>
      <w:r w:rsidRPr="00801900">
        <w:rPr>
          <w:lang w:val="hy-AM"/>
        </w:rPr>
        <w:softHyphen/>
        <w:t>շար</w:t>
      </w:r>
      <w:r w:rsidRPr="00801900">
        <w:rPr>
          <w:lang w:val="hy-AM"/>
        </w:rPr>
        <w:softHyphen/>
        <w:t>ները կազմում էին համապատասխանաբար 362.1հազ.տ, 3760.76կգ, 26</w:t>
      </w:r>
      <w:r w:rsidRPr="00801900">
        <w:rPr>
          <w:rFonts w:cs="Calibri"/>
          <w:lang w:val="hy-AM"/>
        </w:rPr>
        <w:t> </w:t>
      </w:r>
      <w:r w:rsidRPr="00801900">
        <w:rPr>
          <w:lang w:val="hy-AM"/>
        </w:rPr>
        <w:t>553.74կգ և 1</w:t>
      </w:r>
      <w:r w:rsidRPr="00801900">
        <w:rPr>
          <w:rFonts w:cs="Calibri"/>
          <w:lang w:val="hy-AM"/>
        </w:rPr>
        <w:t> </w:t>
      </w:r>
      <w:r w:rsidRPr="00801900">
        <w:rPr>
          <w:lang w:val="hy-AM"/>
        </w:rPr>
        <w:t>431.22տ: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>Հանքավայրի ռեսուրսային և տնտեսական ներուժի գնահատումը հա</w:t>
      </w:r>
      <w:r w:rsidRPr="00801900">
        <w:rPr>
          <w:lang w:val="hy-AM"/>
        </w:rPr>
        <w:softHyphen/>
        <w:t>ջորդ և մինչ օրս  վերջին անգամ իրականացվել է 2000-2002 թվականներին «Սիփան - 1» ՍՊ ընկե</w:t>
      </w:r>
      <w:r w:rsidRPr="00801900">
        <w:rPr>
          <w:lang w:val="hy-AM"/>
        </w:rPr>
        <w:softHyphen/>
        <w:t>րու</w:t>
      </w:r>
      <w:r w:rsidRPr="00801900">
        <w:rPr>
          <w:lang w:val="hy-AM"/>
        </w:rPr>
        <w:softHyphen/>
        <w:t>թյան նախաձեռնությամբ և ֆինանսական միջոցների հաշվին, որը, 2000 թվականին ստա</w:t>
      </w:r>
      <w:r w:rsidRPr="00801900">
        <w:rPr>
          <w:lang w:val="hy-AM"/>
        </w:rPr>
        <w:softHyphen/>
        <w:t>նալով տվյալ օբյեկտի շահագործման իրավունքը, սկսել էր դրա մերձմակե</w:t>
      </w:r>
      <w:r w:rsidRPr="00801900">
        <w:rPr>
          <w:lang w:val="hy-AM"/>
        </w:rPr>
        <w:softHyphen/>
        <w:t>րևութա</w:t>
      </w:r>
      <w:r w:rsidRPr="00801900">
        <w:rPr>
          <w:lang w:val="hy-AM"/>
        </w:rPr>
        <w:softHyphen/>
      </w:r>
      <w:r w:rsidRPr="00801900">
        <w:rPr>
          <w:lang w:val="hy-AM"/>
        </w:rPr>
        <w:softHyphen/>
        <w:t>յին հատվածում պարփակված օքսիդացած հանքաքարի արդունահանումը (բացա</w:t>
      </w:r>
      <w:r w:rsidRPr="00801900">
        <w:rPr>
          <w:lang w:val="hy-AM"/>
        </w:rPr>
        <w:softHyphen/>
        <w:t>հան</w:t>
      </w:r>
      <w:r w:rsidRPr="00801900">
        <w:rPr>
          <w:lang w:val="hy-AM"/>
        </w:rPr>
        <w:softHyphen/>
        <w:t>քով),  զուգակցելով այն ամբողջ հանքավայրի վերագնահատման աշխատանքներով:</w:t>
      </w:r>
    </w:p>
    <w:p w:rsidR="003B50B7" w:rsidRPr="00801900" w:rsidRDefault="003B50B7" w:rsidP="003B50B7">
      <w:pPr>
        <w:pStyle w:val="a6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right="7" w:firstLine="709"/>
        <w:contextualSpacing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«Սիփան-1» ՍՊ ընկե</w:t>
      </w:r>
      <w:r w:rsidRPr="00801900">
        <w:rPr>
          <w:sz w:val="24"/>
          <w:szCs w:val="24"/>
          <w:lang w:val="hy-AM"/>
        </w:rPr>
        <w:softHyphen/>
        <w:t>րու</w:t>
      </w:r>
      <w:r w:rsidRPr="00801900">
        <w:rPr>
          <w:sz w:val="24"/>
          <w:szCs w:val="24"/>
          <w:lang w:val="hy-AM"/>
        </w:rPr>
        <w:softHyphen/>
        <w:t>թյանը պատկանող Այգեձորի հարստացուցիչ ֆաբրիկա</w:t>
      </w:r>
      <w:r w:rsidRPr="00801900">
        <w:rPr>
          <w:sz w:val="24"/>
          <w:szCs w:val="24"/>
          <w:lang w:val="hy-AM"/>
        </w:rPr>
        <w:softHyphen/>
        <w:t>յի աշխատանքային փորձով պարզվել էին հանքաքարի վերամշակման տեխնոլոգիա</w:t>
      </w:r>
      <w:r w:rsidRPr="00801900">
        <w:rPr>
          <w:sz w:val="24"/>
          <w:szCs w:val="24"/>
          <w:lang w:val="hy-AM"/>
        </w:rPr>
        <w:softHyphen/>
        <w:t>կան ռեգլամենտի որոշ ցուցանիշներ,</w:t>
      </w:r>
    </w:p>
    <w:p w:rsidR="003B50B7" w:rsidRPr="00801900" w:rsidRDefault="003B50B7" w:rsidP="003B50B7">
      <w:pPr>
        <w:pStyle w:val="a6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right="7" w:firstLine="709"/>
        <w:contextualSpacing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արդիականացվել էին հանքավայրի կոնդիցիաների պարամետրերը,</w:t>
      </w:r>
    </w:p>
    <w:p w:rsidR="003B50B7" w:rsidRPr="00801900" w:rsidRDefault="003B50B7" w:rsidP="003B50B7">
      <w:pPr>
        <w:pStyle w:val="a6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right="7" w:firstLine="709"/>
        <w:contextualSpacing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հիմք ընդունելով կոնդիցիաների արդիականացված պարամետրերը և լրացված ու ճշգրտված ելա</w:t>
      </w:r>
      <w:r w:rsidRPr="00801900">
        <w:rPr>
          <w:sz w:val="24"/>
          <w:szCs w:val="24"/>
          <w:lang w:val="hy-AM"/>
        </w:rPr>
        <w:softHyphen/>
      </w:r>
      <w:r w:rsidRPr="00801900">
        <w:rPr>
          <w:sz w:val="24"/>
          <w:szCs w:val="24"/>
          <w:lang w:val="hy-AM"/>
        </w:rPr>
        <w:softHyphen/>
      </w:r>
      <w:r w:rsidRPr="00801900">
        <w:rPr>
          <w:sz w:val="24"/>
          <w:szCs w:val="24"/>
          <w:lang w:val="hy-AM"/>
        </w:rPr>
        <w:softHyphen/>
        <w:t>կե</w:t>
      </w:r>
      <w:r w:rsidRPr="00801900">
        <w:rPr>
          <w:sz w:val="24"/>
          <w:szCs w:val="24"/>
          <w:lang w:val="hy-AM"/>
        </w:rPr>
        <w:softHyphen/>
        <w:t>տային տեղեկատվությունը վերաեզ</w:t>
      </w:r>
      <w:r w:rsidRPr="00801900">
        <w:rPr>
          <w:sz w:val="24"/>
          <w:szCs w:val="24"/>
          <w:lang w:val="hy-AM"/>
        </w:rPr>
        <w:softHyphen/>
        <w:t>րա</w:t>
      </w:r>
      <w:r w:rsidRPr="00801900">
        <w:rPr>
          <w:sz w:val="24"/>
          <w:szCs w:val="24"/>
          <w:lang w:val="hy-AM"/>
        </w:rPr>
        <w:softHyphen/>
        <w:t xml:space="preserve">գծվել և վերահաշվարկվել էին հանքավայրի պաշարները:  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>Վերոգրյալի արդյունքները ամփոփվել են 2001 թ-ի ՏՏՀ-ում [5] և 2002 թ-ի պաշարների հաշվարկմամբ երկրա</w:t>
      </w:r>
      <w:r w:rsidRPr="00801900">
        <w:rPr>
          <w:lang w:val="hy-AM"/>
        </w:rPr>
        <w:softHyphen/>
        <w:t>բանական հաշվետվությունում [7], որոնք պետական ըն</w:t>
      </w:r>
      <w:r w:rsidRPr="00801900">
        <w:rPr>
          <w:lang w:val="hy-AM"/>
        </w:rPr>
        <w:softHyphen/>
        <w:t>դեր</w:t>
      </w:r>
      <w:r w:rsidRPr="00801900">
        <w:rPr>
          <w:lang w:val="hy-AM"/>
        </w:rPr>
        <w:softHyphen/>
        <w:t>քաբանական փորձաքննության են ենթարկվել համապատասխանաբար ՀՀ ՊՊՀ-ի [6] և նրա իրավա</w:t>
      </w:r>
      <w:r w:rsidRPr="00801900">
        <w:rPr>
          <w:lang w:val="hy-AM"/>
        </w:rPr>
        <w:softHyphen/>
        <w:t>հա</w:t>
      </w:r>
      <w:r w:rsidRPr="00801900">
        <w:rPr>
          <w:lang w:val="hy-AM"/>
        </w:rPr>
        <w:softHyphen/>
        <w:t>ջորդ ՀՀ ՕՀՊԳ-ի [8] կողմից: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>
        <w:rPr>
          <w:lang w:val="hy-AM"/>
        </w:rPr>
        <w:t>Հ</w:t>
      </w:r>
      <w:r w:rsidRPr="00801900">
        <w:rPr>
          <w:lang w:val="hy-AM"/>
        </w:rPr>
        <w:t>անքավայրի կոն</w:t>
      </w:r>
      <w:r w:rsidRPr="00801900">
        <w:rPr>
          <w:lang w:val="hy-AM"/>
        </w:rPr>
        <w:softHyphen/>
        <w:t>դի</w:t>
      </w:r>
      <w:r w:rsidRPr="00801900">
        <w:rPr>
          <w:lang w:val="hy-AM"/>
        </w:rPr>
        <w:softHyphen/>
        <w:t>ցիաների վերահիմնավորված և մինչ օրս գործող պարա</w:t>
      </w:r>
      <w:r w:rsidRPr="00801900">
        <w:rPr>
          <w:lang w:val="hy-AM"/>
        </w:rPr>
        <w:softHyphen/>
        <w:t>մետրերը հաստատվել էին ՀՀ ՕՀՊԳ-ի խորհրդի 25.01.2003 թ-ի № 1 Որոշմամբ հետևյալ խմբագրությամբ՝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>ա) բաց և ստորգետնյա լեռնային աշխատանքների միջև սահմանն անցկացնել օքսի</w:t>
      </w:r>
      <w:r w:rsidRPr="00801900">
        <w:rPr>
          <w:lang w:val="hy-AM"/>
        </w:rPr>
        <w:softHyphen/>
        <w:t>դացած և սուլֆիդային տիպի հանքաքարերի հպման մակերևույթով,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>բ) օքսիդացած տիպին վերագրել պղնձի 15%–ը գերազանցող օքսիդացման աստի</w:t>
      </w:r>
      <w:r w:rsidRPr="00801900">
        <w:rPr>
          <w:lang w:val="hy-AM"/>
        </w:rPr>
        <w:softHyphen/>
        <w:t>ճա</w:t>
      </w:r>
      <w:r w:rsidRPr="00801900">
        <w:rPr>
          <w:lang w:val="hy-AM"/>
        </w:rPr>
        <w:softHyphen/>
        <w:t>նով բնութագրվող հանքաքարը,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 xml:space="preserve"> գ) օքսիդացած հանքաքարում պայմանական ոսկու եզրագծային պարունակությունը ընդունել 2.3 գ/տ և կիրառել այն շարքային նմուշների և հետախուզահատույթների նկատմամբ,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>դ) օքսիդացած հանքաքարում պայմանական ոսկու պարունակությունը որոշելիս հաշվի առնել միայն ոսկու փաստացի և արծաթի 15գ/տ գերազանցող պարունակութ</w:t>
      </w:r>
      <w:r w:rsidRPr="00801900">
        <w:rPr>
          <w:lang w:val="hy-AM"/>
        </w:rPr>
        <w:softHyphen/>
        <w:t>յուն</w:t>
      </w:r>
      <w:r w:rsidRPr="00801900">
        <w:rPr>
          <w:lang w:val="hy-AM"/>
        </w:rPr>
        <w:softHyphen/>
        <w:t>ները, վերջիններիս նկատմամբ կիրառելով 0.03 բերման գործակից,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>ե)  օքսիդացած հանքաքարի պաշարների հաշվարկում չընդգրկել 5 մ-ը գերազան</w:t>
      </w:r>
      <w:r w:rsidRPr="00801900">
        <w:rPr>
          <w:lang w:val="hy-AM"/>
        </w:rPr>
        <w:softHyphen/>
        <w:t>ցող դատարկ և ոչ կոնդիցիոն ապարների երկրաչափացման չենթարկվող միջակայքերը, պաշարների հաշվարկն իրականացնելով հանքաբերության գործակցի կիրառմամբ,</w:t>
      </w:r>
    </w:p>
    <w:p w:rsidR="003B50B7" w:rsidRPr="00801900" w:rsidRDefault="003B50B7" w:rsidP="003B50B7">
      <w:pPr>
        <w:spacing w:line="276" w:lineRule="auto"/>
        <w:ind w:right="7" w:firstLine="709"/>
        <w:jc w:val="both"/>
        <w:rPr>
          <w:lang w:val="hy-AM"/>
        </w:rPr>
      </w:pPr>
      <w:r w:rsidRPr="00801900">
        <w:rPr>
          <w:lang w:val="hy-AM"/>
        </w:rPr>
        <w:t>զ) սուլֆիդային հանքաքարում պայմանական ոսկու նվազագույն թույլատրելի (ըստ հետախուզահատույթների) և նվազագույն արդյունաբերական (ըստ հաշվարկային բլոկների) պարունակությունները սահմանել հանքաերակի հզորությունից կախված՝ հա</w:t>
      </w:r>
      <w:r w:rsidRPr="00801900">
        <w:rPr>
          <w:lang w:val="hy-AM"/>
        </w:rPr>
        <w:softHyphen/>
        <w:t>մաձայն հետևյալ շարքերի՝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53"/>
        <w:gridCol w:w="536"/>
        <w:gridCol w:w="536"/>
        <w:gridCol w:w="537"/>
        <w:gridCol w:w="536"/>
        <w:gridCol w:w="536"/>
        <w:gridCol w:w="537"/>
      </w:tblGrid>
      <w:tr w:rsidR="003B50B7" w:rsidRPr="00801900" w:rsidTr="002072D9">
        <w:trPr>
          <w:trHeight w:val="474"/>
        </w:trPr>
        <w:tc>
          <w:tcPr>
            <w:tcW w:w="6629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Հանքերակի հզորությունը (մ)*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0.3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0.5</w:t>
            </w:r>
          </w:p>
        </w:tc>
        <w:tc>
          <w:tcPr>
            <w:tcW w:w="53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0.7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0.9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1.1</w:t>
            </w:r>
          </w:p>
        </w:tc>
        <w:tc>
          <w:tcPr>
            <w:tcW w:w="53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1.3</w:t>
            </w:r>
          </w:p>
        </w:tc>
      </w:tr>
      <w:tr w:rsidR="003B50B7" w:rsidRPr="00801900" w:rsidTr="002072D9">
        <w:trPr>
          <w:trHeight w:val="474"/>
        </w:trPr>
        <w:tc>
          <w:tcPr>
            <w:tcW w:w="6629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lastRenderedPageBreak/>
              <w:t>Նվազագույն թույլատրելի պարունակությունը (գ/տ)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7.5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5.9</w:t>
            </w:r>
          </w:p>
        </w:tc>
        <w:tc>
          <w:tcPr>
            <w:tcW w:w="53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4.8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4.1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3.4</w:t>
            </w:r>
          </w:p>
        </w:tc>
        <w:tc>
          <w:tcPr>
            <w:tcW w:w="53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2.9</w:t>
            </w:r>
          </w:p>
        </w:tc>
      </w:tr>
      <w:tr w:rsidR="003B50B7" w:rsidRPr="00801900" w:rsidTr="002072D9">
        <w:trPr>
          <w:trHeight w:val="474"/>
        </w:trPr>
        <w:tc>
          <w:tcPr>
            <w:tcW w:w="6629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Նվազագույն արդյունաբերական պարունակությունը (գ/տ)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9.8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7.4</w:t>
            </w:r>
          </w:p>
        </w:tc>
        <w:tc>
          <w:tcPr>
            <w:tcW w:w="53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5.9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4.7</w:t>
            </w:r>
          </w:p>
        </w:tc>
        <w:tc>
          <w:tcPr>
            <w:tcW w:w="5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3.8</w:t>
            </w:r>
          </w:p>
        </w:tc>
        <w:tc>
          <w:tcPr>
            <w:tcW w:w="53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3.3</w:t>
            </w:r>
          </w:p>
        </w:tc>
      </w:tr>
    </w:tbl>
    <w:p w:rsidR="003B50B7" w:rsidRPr="00801900" w:rsidRDefault="003B50B7" w:rsidP="003B50B7">
      <w:pPr>
        <w:spacing w:line="120" w:lineRule="auto"/>
        <w:ind w:right="6"/>
        <w:jc w:val="both"/>
        <w:rPr>
          <w:sz w:val="20"/>
          <w:szCs w:val="20"/>
        </w:rPr>
      </w:pPr>
    </w:p>
    <w:p w:rsidR="003B50B7" w:rsidRPr="00801900" w:rsidRDefault="003B50B7" w:rsidP="003B50B7">
      <w:pPr>
        <w:spacing w:after="120"/>
        <w:ind w:right="7"/>
        <w:jc w:val="both"/>
        <w:rPr>
          <w:sz w:val="20"/>
          <w:szCs w:val="20"/>
        </w:rPr>
      </w:pPr>
      <w:r w:rsidRPr="00801900">
        <w:rPr>
          <w:sz w:val="20"/>
          <w:szCs w:val="20"/>
        </w:rPr>
        <w:t>*Հանքաքարի հզորությունների միջանկյալ արժեքների համար ոսկու պայմանական պարունակությունը որո</w:t>
      </w:r>
      <w:r w:rsidRPr="00801900">
        <w:rPr>
          <w:sz w:val="20"/>
          <w:szCs w:val="20"/>
        </w:rPr>
        <w:softHyphen/>
        <w:t>շել միջարկման միջոցով</w:t>
      </w:r>
    </w:p>
    <w:p w:rsidR="003B50B7" w:rsidRPr="00801900" w:rsidRDefault="003B50B7" w:rsidP="003B50B7">
      <w:pPr>
        <w:ind w:right="6" w:firstLine="709"/>
        <w:jc w:val="both"/>
      </w:pPr>
    </w:p>
    <w:p w:rsidR="003B50B7" w:rsidRPr="00801900" w:rsidRDefault="003B50B7" w:rsidP="003B50B7">
      <w:pPr>
        <w:spacing w:line="276" w:lineRule="auto"/>
        <w:ind w:right="7" w:firstLine="709"/>
        <w:jc w:val="both"/>
      </w:pPr>
      <w:r w:rsidRPr="00801900">
        <w:t>Է) սուլֆիդային հանքաքարում պայմանական ոսկու պարունակությունը որոշելիս հաշվի առնել ոսկու փաստացի, արծաթի 10գ/տ և պղնձի 0.05%–ը գերազանցող պա</w:t>
      </w:r>
      <w:r w:rsidRPr="00801900">
        <w:softHyphen/>
        <w:t>րու</w:t>
      </w:r>
      <w:r w:rsidRPr="00801900">
        <w:softHyphen/>
        <w:t>նակությունները: Արծաթի պարունակությունը ոսկու պայմանական պարունակու</w:t>
      </w:r>
      <w:r w:rsidRPr="00801900">
        <w:softHyphen/>
        <w:t>թյամբ արտահայտելու համար օգտագործել ստորև բերվող աղյուսակի տվյալ</w:t>
      </w:r>
      <w:r w:rsidRPr="00801900">
        <w:softHyphen/>
        <w:t>նե</w:t>
      </w:r>
      <w:r w:rsidRPr="00801900">
        <w:softHyphen/>
        <w:t>րը, իսկ պղն</w:t>
      </w:r>
      <w:r w:rsidRPr="00801900">
        <w:softHyphen/>
        <w:t>ձի պարունակության նկատմամբ կիրառել 2.39 բերման գործակից:</w:t>
      </w:r>
    </w:p>
    <w:p w:rsidR="003B50B7" w:rsidRPr="00801900" w:rsidRDefault="003B50B7" w:rsidP="003B50B7">
      <w:pPr>
        <w:spacing w:line="276" w:lineRule="auto"/>
        <w:ind w:right="7" w:firstLine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8"/>
        <w:gridCol w:w="693"/>
        <w:gridCol w:w="693"/>
        <w:gridCol w:w="693"/>
        <w:gridCol w:w="693"/>
        <w:gridCol w:w="693"/>
        <w:gridCol w:w="693"/>
        <w:gridCol w:w="693"/>
        <w:gridCol w:w="693"/>
        <w:gridCol w:w="763"/>
        <w:gridCol w:w="763"/>
        <w:gridCol w:w="763"/>
      </w:tblGrid>
      <w:tr w:rsidR="003B50B7" w:rsidRPr="00801900" w:rsidTr="002072D9">
        <w:tc>
          <w:tcPr>
            <w:tcW w:w="18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Հանքերակի</w:t>
            </w:r>
          </w:p>
          <w:p w:rsidR="003B50B7" w:rsidRPr="00801900" w:rsidRDefault="003B50B7" w:rsidP="002072D9">
            <w:pPr>
              <w:ind w:right="7"/>
              <w:jc w:val="center"/>
            </w:pPr>
            <w:r w:rsidRPr="00801900">
              <w:t>հզորությունը</w:t>
            </w:r>
          </w:p>
          <w:p w:rsidR="003B50B7" w:rsidRPr="00801900" w:rsidRDefault="003B50B7" w:rsidP="002072D9">
            <w:pPr>
              <w:ind w:right="7"/>
              <w:jc w:val="center"/>
            </w:pPr>
            <w:r w:rsidRPr="00801900">
              <w:t>(մ ) *</w:t>
            </w:r>
          </w:p>
        </w:tc>
        <w:tc>
          <w:tcPr>
            <w:tcW w:w="805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Ոսկու պայմանական պարունակությունը ըստ արծաթի փաստացի պարունակությունների, գ/տ</w:t>
            </w:r>
          </w:p>
        </w:tc>
      </w:tr>
      <w:tr w:rsidR="003B50B7" w:rsidRPr="00801900" w:rsidTr="002072D9">
        <w:tc>
          <w:tcPr>
            <w:tcW w:w="1801" w:type="dxa"/>
            <w:vMerge/>
            <w:tcBorders>
              <w:lef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</w:p>
        </w:tc>
        <w:tc>
          <w:tcPr>
            <w:tcW w:w="72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10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20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30</w:t>
            </w:r>
          </w:p>
        </w:tc>
        <w:tc>
          <w:tcPr>
            <w:tcW w:w="72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40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50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100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150</w:t>
            </w:r>
          </w:p>
        </w:tc>
        <w:tc>
          <w:tcPr>
            <w:tcW w:w="72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200</w:t>
            </w:r>
          </w:p>
        </w:tc>
        <w:tc>
          <w:tcPr>
            <w:tcW w:w="76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300</w:t>
            </w:r>
          </w:p>
        </w:tc>
        <w:tc>
          <w:tcPr>
            <w:tcW w:w="76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400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500</w:t>
            </w:r>
          </w:p>
        </w:tc>
      </w:tr>
      <w:tr w:rsidR="003B50B7" w:rsidRPr="00801900" w:rsidTr="002072D9">
        <w:tc>
          <w:tcPr>
            <w:tcW w:w="1801" w:type="dxa"/>
            <w:tcBorders>
              <w:lef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0.3</w:t>
            </w:r>
          </w:p>
        </w:tc>
        <w:tc>
          <w:tcPr>
            <w:tcW w:w="72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1.23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1.50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1.79</w:t>
            </w:r>
          </w:p>
        </w:tc>
        <w:tc>
          <w:tcPr>
            <w:tcW w:w="72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2.09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2.40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3.93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5.48</w:t>
            </w:r>
          </w:p>
        </w:tc>
        <w:tc>
          <w:tcPr>
            <w:tcW w:w="72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7.03</w:t>
            </w:r>
          </w:p>
        </w:tc>
        <w:tc>
          <w:tcPr>
            <w:tcW w:w="76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10.12</w:t>
            </w:r>
          </w:p>
        </w:tc>
        <w:tc>
          <w:tcPr>
            <w:tcW w:w="76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13.22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16.32</w:t>
            </w:r>
          </w:p>
        </w:tc>
      </w:tr>
      <w:tr w:rsidR="003B50B7" w:rsidRPr="00801900" w:rsidTr="002072D9">
        <w:tc>
          <w:tcPr>
            <w:tcW w:w="1801" w:type="dxa"/>
            <w:tcBorders>
              <w:lef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0.7</w:t>
            </w:r>
          </w:p>
        </w:tc>
        <w:tc>
          <w:tcPr>
            <w:tcW w:w="72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0.89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1.18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1.48</w:t>
            </w:r>
          </w:p>
        </w:tc>
        <w:tc>
          <w:tcPr>
            <w:tcW w:w="72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1.79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2.09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3.64</w:t>
            </w:r>
          </w:p>
        </w:tc>
        <w:tc>
          <w:tcPr>
            <w:tcW w:w="720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5.19</w:t>
            </w:r>
          </w:p>
        </w:tc>
        <w:tc>
          <w:tcPr>
            <w:tcW w:w="72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6.73</w:t>
            </w:r>
          </w:p>
        </w:tc>
        <w:tc>
          <w:tcPr>
            <w:tcW w:w="76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9.83</w:t>
            </w:r>
          </w:p>
        </w:tc>
        <w:tc>
          <w:tcPr>
            <w:tcW w:w="76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12.93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16.03</w:t>
            </w:r>
          </w:p>
        </w:tc>
      </w:tr>
      <w:tr w:rsidR="003B50B7" w:rsidRPr="00801900" w:rsidTr="002072D9">
        <w:tc>
          <w:tcPr>
            <w:tcW w:w="1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1.2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0.74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1.34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1.65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1.95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3.50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5.05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6.60</w:t>
            </w:r>
          </w:p>
        </w:tc>
        <w:tc>
          <w:tcPr>
            <w:tcW w:w="763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9.70</w:t>
            </w:r>
          </w:p>
        </w:tc>
        <w:tc>
          <w:tcPr>
            <w:tcW w:w="763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12.79</w:t>
            </w: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15.89</w:t>
            </w:r>
          </w:p>
        </w:tc>
      </w:tr>
    </w:tbl>
    <w:p w:rsidR="003B50B7" w:rsidRPr="00801900" w:rsidRDefault="003B50B7" w:rsidP="003B50B7">
      <w:pPr>
        <w:spacing w:after="240"/>
        <w:ind w:right="7"/>
        <w:jc w:val="both"/>
      </w:pPr>
      <w:r w:rsidRPr="00801900">
        <w:rPr>
          <w:sz w:val="20"/>
          <w:szCs w:val="20"/>
        </w:rPr>
        <w:t>*Հանքերակի հզորության և արծաթի փաստացի պարունակության միջանկյալ արժեքների համար ոսկու պայ</w:t>
      </w:r>
      <w:r w:rsidRPr="00801900">
        <w:rPr>
          <w:sz w:val="20"/>
          <w:szCs w:val="20"/>
        </w:rPr>
        <w:softHyphen/>
        <w:t>մա</w:t>
      </w:r>
      <w:r w:rsidRPr="00801900">
        <w:rPr>
          <w:sz w:val="20"/>
          <w:szCs w:val="20"/>
        </w:rPr>
        <w:softHyphen/>
        <w:t>նական պարունակությունը որոշել միջարկման միջոցով</w:t>
      </w:r>
    </w:p>
    <w:p w:rsidR="003B50B7" w:rsidRPr="00801900" w:rsidRDefault="003B50B7" w:rsidP="003B50B7">
      <w:pPr>
        <w:pBdr>
          <w:bottom w:val="single" w:sz="4" w:space="3" w:color="auto"/>
        </w:pBdr>
        <w:spacing w:line="276" w:lineRule="auto"/>
        <w:ind w:right="6" w:firstLine="709"/>
        <w:jc w:val="both"/>
      </w:pPr>
      <w:r w:rsidRPr="00801900">
        <w:t>ը) սուլֆիդային հանքաքարի պաշարների հաշվարկում, հանքերակի 0.7մ-ը չգերա</w:t>
      </w:r>
      <w:r w:rsidRPr="00801900">
        <w:softHyphen/>
      </w:r>
      <w:r w:rsidRPr="00801900">
        <w:softHyphen/>
        <w:t>զանցող հզորությունների դեպքում, չընդգրկել 10-ից ավելի երկարությամբ դատարկ և ոչ կոնդիցիոն ապարների երկրաչափացման չենթարկվող միջակայքերը՝ պաշարների հաշ</w:t>
      </w:r>
      <w:r w:rsidRPr="00801900">
        <w:softHyphen/>
        <w:t>վարկն իրականացնելով հանքաբերության գործակցի կիրառմամբ,</w:t>
      </w:r>
    </w:p>
    <w:p w:rsidR="003B50B7" w:rsidRPr="00801900" w:rsidRDefault="003B50B7" w:rsidP="003B50B7">
      <w:pPr>
        <w:pBdr>
          <w:bottom w:val="single" w:sz="4" w:space="3" w:color="auto"/>
        </w:pBdr>
        <w:spacing w:line="276" w:lineRule="auto"/>
        <w:ind w:right="6" w:firstLine="709"/>
        <w:jc w:val="both"/>
      </w:pPr>
      <w:r w:rsidRPr="00801900">
        <w:t>թ) պայմանական ոսկու նվազագույն արդյունաբերական պարունակությունից ցա</w:t>
      </w:r>
      <w:r w:rsidRPr="00801900">
        <w:softHyphen/>
      </w:r>
      <w:r w:rsidRPr="00801900">
        <w:softHyphen/>
        <w:t>ծր, բայց հետախուզահատույթի համար սահմանված նվազագույն թույլատրելի պարու</w:t>
      </w:r>
      <w:r w:rsidRPr="00801900">
        <w:softHyphen/>
        <w:t>նակությանը չզիջող պարունակություններով բնութագրվող սուլֆիդային հանքաքա</w:t>
      </w:r>
      <w:r w:rsidRPr="00801900">
        <w:softHyphen/>
        <w:t>րով ներկայացված հաշվարկային բլոկների պաշարները դասել արտահաշվեկշռային</w:t>
      </w:r>
      <w:r w:rsidRPr="00801900">
        <w:softHyphen/>
        <w:t>ներին,</w:t>
      </w:r>
    </w:p>
    <w:p w:rsidR="003B50B7" w:rsidRPr="00801900" w:rsidRDefault="003B50B7" w:rsidP="003B50B7">
      <w:pPr>
        <w:pBdr>
          <w:bottom w:val="single" w:sz="4" w:space="3" w:color="auto"/>
        </w:pBdr>
        <w:spacing w:line="276" w:lineRule="auto"/>
        <w:ind w:right="6" w:firstLine="709"/>
        <w:jc w:val="both"/>
      </w:pPr>
      <w:r w:rsidRPr="00801900">
        <w:t>ժ) սուլֆիդային հանքաքարի հաշվեկշռային և արտահաշվեկշռային պաշարների սահմաններում հաշվարկել նաև թելուրի ու բիսմուտի պաշարները, վերագրելով դրանք արտահաշվեկշռային պաշարներին:</w:t>
      </w:r>
    </w:p>
    <w:p w:rsidR="003B50B7" w:rsidRPr="00801900" w:rsidRDefault="003B50B7" w:rsidP="003B50B7">
      <w:pPr>
        <w:pBdr>
          <w:bottom w:val="single" w:sz="4" w:space="3" w:color="auto"/>
        </w:pBdr>
        <w:spacing w:line="276" w:lineRule="auto"/>
        <w:ind w:right="6" w:firstLine="709"/>
        <w:jc w:val="both"/>
      </w:pPr>
      <w:r w:rsidRPr="00801900">
        <w:t>Ամփոփ տեղեկատվությունը ՀՀ ՕՀՊԳ-ի խորհրդի վերոնշյալ Որոշմամբ [8] հաստա</w:t>
      </w:r>
      <w:r w:rsidRPr="00801900">
        <w:softHyphen/>
        <w:t>տ</w:t>
      </w:r>
      <w:r w:rsidRPr="00801900">
        <w:softHyphen/>
        <w:t>ված հանքավայրի պաշարների մասին զետեղված է ստորև բերվող աղյուսակում:</w:t>
      </w:r>
    </w:p>
    <w:p w:rsidR="003B50B7" w:rsidRPr="00801900" w:rsidRDefault="003B50B7" w:rsidP="003B50B7">
      <w:pPr>
        <w:spacing w:after="120" w:line="276" w:lineRule="auto"/>
        <w:ind w:right="7" w:firstLine="709"/>
        <w:jc w:val="both"/>
      </w:pPr>
      <w:r w:rsidRPr="00801900">
        <w:t>Տերտերասարի ոսկու հանքավայրի պաշարները 01.01.2003թ-ի դրությամբ</w:t>
      </w:r>
    </w:p>
    <w:tbl>
      <w:tblPr>
        <w:tblStyle w:val="a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800"/>
        <w:gridCol w:w="1095"/>
        <w:gridCol w:w="708"/>
        <w:gridCol w:w="993"/>
        <w:gridCol w:w="873"/>
        <w:gridCol w:w="1134"/>
        <w:gridCol w:w="851"/>
        <w:gridCol w:w="1252"/>
        <w:gridCol w:w="1137"/>
      </w:tblGrid>
      <w:tr w:rsidR="003B50B7" w:rsidRPr="00801900" w:rsidTr="002072D9">
        <w:trPr>
          <w:cantSplit/>
          <w:trHeight w:val="567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Պաշարների  հաշ</w:t>
            </w:r>
            <w:r w:rsidRPr="00801900">
              <w:softHyphen/>
              <w:t xml:space="preserve">վարկման օբյեկտը 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Ցուցանիշը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 xml:space="preserve">Հաշվարկման </w:t>
            </w:r>
          </w:p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տարրերը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Չափման միավորը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Հաշվեկշռային պաշարներն ըստ կարգերի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Արտահաշվեկշռա</w:t>
            </w:r>
            <w:r w:rsidRPr="00801900">
              <w:softHyphen/>
              <w:t xml:space="preserve">յին պաշարներ </w:t>
            </w:r>
          </w:p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 xml:space="preserve">2 </w:t>
            </w:r>
            <w:r w:rsidRPr="00801900">
              <w:t xml:space="preserve"> կարգի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3851" w:type="dxa"/>
            <w:gridSpan w:val="4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հան</w:t>
            </w:r>
            <w:r w:rsidRPr="00801900">
              <w:softHyphen/>
              <w:t>քաքարերի տիպերը</w:t>
            </w:r>
          </w:p>
        </w:tc>
        <w:tc>
          <w:tcPr>
            <w:tcW w:w="1252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Ընդամենը   օքսի</w:t>
            </w:r>
            <w:r w:rsidRPr="00801900">
              <w:softHyphen/>
              <w:t>դացած և սուլֆի</w:t>
            </w:r>
            <w:r w:rsidRPr="00801900">
              <w:softHyphen/>
              <w:t>դային</w:t>
            </w:r>
          </w:p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 xml:space="preserve"> C </w:t>
            </w:r>
            <w:r w:rsidRPr="00801900">
              <w:rPr>
                <w:vertAlign w:val="subscript"/>
              </w:rPr>
              <w:t>1</w:t>
            </w:r>
            <w:r w:rsidRPr="00801900">
              <w:t xml:space="preserve"> + C </w:t>
            </w:r>
            <w:r w:rsidRPr="00801900">
              <w:rPr>
                <w:vertAlign w:val="subscript"/>
              </w:rPr>
              <w:t>2</w:t>
            </w:r>
          </w:p>
        </w:tc>
        <w:tc>
          <w:tcPr>
            <w:tcW w:w="1137" w:type="dxa"/>
            <w:vMerge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</w:p>
        </w:tc>
      </w:tr>
      <w:tr w:rsidR="003B50B7" w:rsidRPr="00801900" w:rsidTr="002072D9">
        <w:trPr>
          <w:cantSplit/>
          <w:trHeight w:val="579"/>
        </w:trPr>
        <w:tc>
          <w:tcPr>
            <w:tcW w:w="80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օքսիդա</w:t>
            </w:r>
            <w:r w:rsidRPr="00801900">
              <w:softHyphen/>
              <w:t>ցած</w:t>
            </w:r>
          </w:p>
        </w:tc>
        <w:tc>
          <w:tcPr>
            <w:tcW w:w="2858" w:type="dxa"/>
            <w:gridSpan w:val="3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սուլֆիդային</w:t>
            </w:r>
          </w:p>
        </w:tc>
        <w:tc>
          <w:tcPr>
            <w:tcW w:w="1252" w:type="dxa"/>
            <w:vMerge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</w:p>
        </w:tc>
        <w:tc>
          <w:tcPr>
            <w:tcW w:w="1137" w:type="dxa"/>
            <w:vMerge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</w:p>
        </w:tc>
      </w:tr>
      <w:tr w:rsidR="003B50B7" w:rsidRPr="00801900" w:rsidTr="002072D9">
        <w:trPr>
          <w:cantSplit/>
          <w:trHeight w:val="579"/>
        </w:trPr>
        <w:tc>
          <w:tcPr>
            <w:tcW w:w="80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1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2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1</w:t>
            </w:r>
            <w:r w:rsidRPr="00801900">
              <w:t xml:space="preserve"> + C </w:t>
            </w:r>
            <w:r w:rsidRPr="00801900">
              <w:rPr>
                <w:vertAlign w:val="subscript"/>
              </w:rPr>
              <w:t>2</w:t>
            </w:r>
          </w:p>
        </w:tc>
        <w:tc>
          <w:tcPr>
            <w:tcW w:w="1252" w:type="dxa"/>
            <w:vMerge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</w:p>
        </w:tc>
        <w:tc>
          <w:tcPr>
            <w:tcW w:w="1137" w:type="dxa"/>
            <w:vMerge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</w:p>
        </w:tc>
      </w:tr>
      <w:tr w:rsidR="003B50B7" w:rsidRPr="00801900" w:rsidTr="002072D9">
        <w:trPr>
          <w:cantSplit/>
          <w:trHeight w:val="170"/>
        </w:trPr>
        <w:tc>
          <w:tcPr>
            <w:tcW w:w="804" w:type="dxa"/>
            <w:tcBorders>
              <w:lef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8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10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1-ին հանքամարմին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Պաշարներ</w:t>
            </w: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spacing w:line="192" w:lineRule="auto"/>
              <w:ind w:right="6"/>
              <w:jc w:val="center"/>
            </w:pPr>
            <w:r w:rsidRPr="00801900">
              <w:t>Հանքա-</w:t>
            </w:r>
          </w:p>
          <w:p w:rsidR="003B50B7" w:rsidRPr="00801900" w:rsidRDefault="003B50B7" w:rsidP="002072D9">
            <w:pPr>
              <w:spacing w:line="192" w:lineRule="auto"/>
              <w:ind w:right="6"/>
              <w:jc w:val="center"/>
            </w:pPr>
            <w:r w:rsidRPr="00801900">
              <w:t>քար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4 150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25 106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45 862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70 968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75 118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70.54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288.02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251.19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539.21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609.75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305.41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936.46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</w:t>
            </w:r>
            <w:r w:rsidRPr="00801900">
              <w:rPr>
                <w:rFonts w:cs="Calibri"/>
              </w:rPr>
              <w:t> </w:t>
            </w:r>
            <w:r w:rsidRPr="00801900">
              <w:t>505.73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</w:t>
            </w:r>
            <w:r w:rsidRPr="00801900">
              <w:rPr>
                <w:rFonts w:cs="Calibri"/>
              </w:rPr>
              <w:t> </w:t>
            </w:r>
            <w:r w:rsidRPr="00801900">
              <w:t>445.19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</w:t>
            </w:r>
            <w:r w:rsidRPr="00801900">
              <w:rPr>
                <w:rFonts w:cs="Calibri"/>
              </w:rPr>
              <w:t> </w:t>
            </w:r>
            <w:r w:rsidRPr="00801900">
              <w:t>750.60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21.16</w:t>
            </w:r>
          </w:p>
        </w:tc>
        <w:tc>
          <w:tcPr>
            <w:tcW w:w="873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164.46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455.98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620.44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641.60</w:t>
            </w:r>
          </w:p>
        </w:tc>
        <w:tc>
          <w:tcPr>
            <w:tcW w:w="11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</w:tbl>
    <w:p w:rsidR="003B50B7" w:rsidRPr="00801900" w:rsidRDefault="003B50B7" w:rsidP="003B50B7">
      <w:pPr>
        <w:rPr>
          <w:sz w:val="16"/>
          <w:szCs w:val="16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800"/>
        <w:gridCol w:w="1095"/>
        <w:gridCol w:w="708"/>
        <w:gridCol w:w="993"/>
        <w:gridCol w:w="873"/>
        <w:gridCol w:w="1134"/>
        <w:gridCol w:w="851"/>
        <w:gridCol w:w="1252"/>
        <w:gridCol w:w="1137"/>
      </w:tblGrid>
      <w:tr w:rsidR="003B50B7" w:rsidRPr="00801900" w:rsidTr="002072D9">
        <w:trPr>
          <w:cantSplit/>
          <w:trHeight w:val="170"/>
        </w:trPr>
        <w:tc>
          <w:tcPr>
            <w:tcW w:w="804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8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10</w:t>
            </w:r>
          </w:p>
        </w:tc>
      </w:tr>
      <w:tr w:rsidR="003B50B7" w:rsidRPr="00801900" w:rsidTr="002072D9">
        <w:trPr>
          <w:cantSplit/>
          <w:trHeight w:val="579"/>
        </w:trPr>
        <w:tc>
          <w:tcPr>
            <w:tcW w:w="804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1-ին հանքամարմին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Պարունա-</w:t>
            </w:r>
          </w:p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կություն</w:t>
            </w: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17.00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11.47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5.48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7.60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8.12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579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73.60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77.25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120.05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104.91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103.18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579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%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0.51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0.66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0.99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0.87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0.85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3-րդ հանքամարմին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Պաշարներ</w:t>
            </w: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spacing w:line="192" w:lineRule="auto"/>
              <w:ind w:right="6"/>
              <w:jc w:val="center"/>
            </w:pPr>
            <w:r w:rsidRPr="00801900">
              <w:t>Հանքա-</w:t>
            </w:r>
          </w:p>
          <w:p w:rsidR="003B50B7" w:rsidRPr="00801900" w:rsidRDefault="003B50B7" w:rsidP="002072D9">
            <w:pPr>
              <w:spacing w:line="192" w:lineRule="auto"/>
              <w:ind w:right="7"/>
              <w:jc w:val="center"/>
            </w:pPr>
            <w:r w:rsidRPr="00801900">
              <w:t>քար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6 202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18 264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81 496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99 760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105 962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89.70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455.37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924.33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379.7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469.4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217.56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837.92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6</w:t>
            </w:r>
            <w:r w:rsidRPr="00801900">
              <w:rPr>
                <w:rFonts w:cs="Calibri"/>
              </w:rPr>
              <w:t> </w:t>
            </w:r>
            <w:r w:rsidRPr="00801900">
              <w:t>620.7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8</w:t>
            </w:r>
            <w:r w:rsidRPr="00801900">
              <w:rPr>
                <w:rFonts w:cs="Calibri"/>
              </w:rPr>
              <w:t> </w:t>
            </w:r>
            <w:r w:rsidRPr="00801900">
              <w:t>458.62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8</w:t>
            </w:r>
            <w:r w:rsidRPr="00801900">
              <w:rPr>
                <w:rFonts w:cs="Calibri"/>
              </w:rPr>
              <w:t> </w:t>
            </w:r>
            <w:r w:rsidRPr="00801900">
              <w:t>676.18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8.79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63.02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323.94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386.96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395.75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Պարունա-</w:t>
            </w:r>
          </w:p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կություն</w:t>
            </w: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14.46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24.96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11.34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13.83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13.87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35.08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100.63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81.24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84.79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81.88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%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0.14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0.34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0.40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0.39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0.37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Լցակույտեր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Պաշարներ</w:t>
            </w: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spacing w:line="192" w:lineRule="auto"/>
              <w:ind w:right="6"/>
              <w:jc w:val="center"/>
            </w:pPr>
            <w:r w:rsidRPr="00801900">
              <w:t>Հանքա-</w:t>
            </w:r>
          </w:p>
          <w:p w:rsidR="003B50B7" w:rsidRPr="00801900" w:rsidRDefault="003B50B7" w:rsidP="002072D9">
            <w:pPr>
              <w:spacing w:line="192" w:lineRule="auto"/>
              <w:ind w:right="7"/>
              <w:jc w:val="center"/>
            </w:pPr>
            <w:r w:rsidRPr="00801900">
              <w:t>քար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13 519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175.43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1060.64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47.62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Պարունա-</w:t>
            </w:r>
          </w:p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կություն</w:t>
            </w: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12.98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78.46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%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0.35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Ընդամենը հանքավայրում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Պաշարներ</w:t>
            </w: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spacing w:line="192" w:lineRule="auto"/>
              <w:ind w:right="6"/>
              <w:jc w:val="center"/>
            </w:pPr>
            <w:r w:rsidRPr="00801900">
              <w:t>Հանքա-</w:t>
            </w:r>
          </w:p>
          <w:p w:rsidR="003B50B7" w:rsidRPr="00801900" w:rsidRDefault="003B50B7" w:rsidP="002072D9">
            <w:pPr>
              <w:spacing w:line="192" w:lineRule="auto"/>
              <w:ind w:right="7"/>
              <w:jc w:val="center"/>
            </w:pPr>
            <w:r w:rsidRPr="00801900">
              <w:t>քար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10 352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43 370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127 358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170 728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181 080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13 516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160.24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743.39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175.52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918.91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</w:t>
            </w:r>
            <w:r w:rsidRPr="00801900">
              <w:rPr>
                <w:rFonts w:cs="Calibri"/>
              </w:rPr>
              <w:t> </w:t>
            </w:r>
            <w:r w:rsidRPr="00801900">
              <w:t>079.15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175.43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522.97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3</w:t>
            </w:r>
            <w:r w:rsidRPr="00801900">
              <w:rPr>
                <w:rFonts w:cs="Calibri"/>
              </w:rPr>
              <w:t> </w:t>
            </w:r>
            <w:r w:rsidRPr="00801900">
              <w:t>777.38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12</w:t>
            </w:r>
            <w:r w:rsidRPr="00801900">
              <w:rPr>
                <w:rFonts w:cs="Calibri"/>
              </w:rPr>
              <w:t> </w:t>
            </w:r>
            <w:r w:rsidRPr="00801900">
              <w:t>126.43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15</w:t>
            </w:r>
            <w:r w:rsidRPr="00801900">
              <w:rPr>
                <w:rFonts w:cs="Calibri"/>
              </w:rPr>
              <w:t> </w:t>
            </w:r>
            <w:r w:rsidRPr="00801900">
              <w:t>903.81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16</w:t>
            </w:r>
            <w:r w:rsidRPr="00801900">
              <w:rPr>
                <w:rFonts w:cs="Calibri"/>
              </w:rPr>
              <w:t> </w:t>
            </w:r>
            <w:r w:rsidRPr="00801900">
              <w:t>426.78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1060.64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29.95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227.48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779.92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007.40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037.35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47.62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Te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1.37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Bi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6.82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  <w:r w:rsidRPr="00801900">
              <w:t>Պարունակություն</w:t>
            </w: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15.48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17.14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9.23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11.24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11.48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12.98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50.51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87.1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95.22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93.15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90.72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78.46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%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0.29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0.52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0.61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0.59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0.57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0.35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Te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%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0.0008</w:t>
            </w:r>
          </w:p>
        </w:tc>
      </w:tr>
      <w:tr w:rsidR="003B50B7" w:rsidRPr="00801900" w:rsidTr="002072D9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3B50B7" w:rsidRPr="00801900" w:rsidRDefault="003B50B7" w:rsidP="002072D9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Bi</w:t>
            </w:r>
          </w:p>
        </w:tc>
        <w:tc>
          <w:tcPr>
            <w:tcW w:w="708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%</w:t>
            </w:r>
          </w:p>
        </w:tc>
        <w:tc>
          <w:tcPr>
            <w:tcW w:w="99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0.004</w:t>
            </w:r>
          </w:p>
        </w:tc>
      </w:tr>
    </w:tbl>
    <w:p w:rsidR="003B50B7" w:rsidRPr="00801900" w:rsidRDefault="003B50B7" w:rsidP="003B50B7">
      <w:pPr>
        <w:ind w:right="7" w:firstLine="709"/>
        <w:jc w:val="both"/>
      </w:pPr>
    </w:p>
    <w:p w:rsidR="003B50B7" w:rsidRPr="00801900" w:rsidRDefault="003B50B7" w:rsidP="003B50B7">
      <w:pPr>
        <w:spacing w:line="276" w:lineRule="auto"/>
        <w:ind w:right="7" w:firstLine="709"/>
        <w:jc w:val="both"/>
      </w:pPr>
      <w:r w:rsidRPr="00801900">
        <w:t>Հանքավայրի շահագործումը «Սիփան-1» ՍՊ ընկե</w:t>
      </w:r>
      <w:r w:rsidRPr="00801900">
        <w:softHyphen/>
        <w:t>րու</w:t>
      </w:r>
      <w:r w:rsidRPr="00801900">
        <w:softHyphen/>
        <w:t>թյան կողմից շարունակվել է ընդհուպ միչև 2012 թվականը և 2005 թ-ից սկսած իրականացվում էր ստոր</w:t>
      </w:r>
      <w:r w:rsidRPr="00801900">
        <w:softHyphen/>
      </w:r>
      <w:r w:rsidRPr="00801900">
        <w:softHyphen/>
        <w:t>գետ</w:t>
      </w:r>
      <w:r w:rsidRPr="00801900">
        <w:softHyphen/>
        <w:t>նյա եղա</w:t>
      </w:r>
      <w:r w:rsidRPr="00801900">
        <w:softHyphen/>
        <w:t>նա</w:t>
      </w:r>
      <w:r w:rsidRPr="00801900">
        <w:softHyphen/>
        <w:t>կով:  Ամփոփ տեղեկատվությունը այդ աշխատանքների մասին ներ</w:t>
      </w:r>
      <w:r w:rsidRPr="00801900">
        <w:softHyphen/>
        <w:t>կա</w:t>
      </w:r>
      <w:r w:rsidRPr="00801900">
        <w:softHyphen/>
        <w:t>յաց</w:t>
      </w:r>
      <w:r w:rsidRPr="00801900">
        <w:softHyphen/>
        <w:t>ված է հան</w:t>
      </w:r>
      <w:r w:rsidRPr="00801900">
        <w:softHyphen/>
        <w:t>րա</w:t>
      </w:r>
      <w:r w:rsidRPr="00801900">
        <w:softHyphen/>
        <w:t>պետական երկրաբանական ֆոնդում պահպանվող հաշվետվությու</w:t>
      </w:r>
      <w:r w:rsidRPr="00801900">
        <w:softHyphen/>
        <w:t xml:space="preserve">նում [9]: </w:t>
      </w:r>
    </w:p>
    <w:p w:rsidR="003B50B7" w:rsidRPr="00801900" w:rsidRDefault="003B50B7" w:rsidP="003B50B7">
      <w:pPr>
        <w:spacing w:line="276" w:lineRule="auto"/>
        <w:ind w:right="7" w:firstLine="709"/>
        <w:jc w:val="both"/>
      </w:pPr>
      <w:r w:rsidRPr="00801900">
        <w:t xml:space="preserve">Ստորև բերվող աղյուսակում զետեղված են պաշարների շարժի մասին 5-ՕՀՊՀ ձևի ամենամյա հաշվատվություններից փոխառնված ամփոփ տվյալներ Տերտերասարի հանքավայրի հաստատված պաշարների 01.07.2012թ-ի դրությամբ մնացորդի մասին: </w:t>
      </w:r>
    </w:p>
    <w:p w:rsidR="003B50B7" w:rsidRPr="00801900" w:rsidRDefault="003B50B7" w:rsidP="003B50B7">
      <w:pPr>
        <w:spacing w:after="120" w:line="276" w:lineRule="auto"/>
        <w:ind w:right="7" w:firstLine="142"/>
      </w:pPr>
      <w:r w:rsidRPr="00801900">
        <w:t xml:space="preserve">Տերտերասարի ոսկու հանքավայրի պաշարների մնացորդը 01.01.2022թ-ի դրությամբ </w:t>
      </w:r>
    </w:p>
    <w:p w:rsidR="003B50B7" w:rsidRPr="00801900" w:rsidRDefault="003B50B7" w:rsidP="003B50B7">
      <w:pPr>
        <w:spacing w:after="240" w:line="276" w:lineRule="auto"/>
        <w:ind w:right="7" w:firstLine="142"/>
      </w:pPr>
      <w:r w:rsidRPr="00801900">
        <w:t xml:space="preserve">                        (5-ՕՀՊՀ ձևի ամենամյա հաշվատվությունների տվյալներով)</w:t>
      </w:r>
    </w:p>
    <w:tbl>
      <w:tblPr>
        <w:tblStyle w:val="a5"/>
        <w:tblW w:w="97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1645"/>
        <w:gridCol w:w="1296"/>
        <w:gridCol w:w="1296"/>
        <w:gridCol w:w="1296"/>
        <w:gridCol w:w="1296"/>
        <w:gridCol w:w="1296"/>
      </w:tblGrid>
      <w:tr w:rsidR="003B50B7" w:rsidRPr="00801900" w:rsidTr="002072D9"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Պաշարների</w:t>
            </w:r>
          </w:p>
          <w:p w:rsidR="003B50B7" w:rsidRPr="00801900" w:rsidRDefault="003B50B7" w:rsidP="002072D9">
            <w:pPr>
              <w:ind w:right="7"/>
              <w:jc w:val="center"/>
            </w:pPr>
            <w:r w:rsidRPr="00801900">
              <w:t>կարգը</w:t>
            </w:r>
          </w:p>
        </w:tc>
        <w:tc>
          <w:tcPr>
            <w:tcW w:w="812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Պաշարները</w:t>
            </w:r>
          </w:p>
        </w:tc>
      </w:tr>
      <w:tr w:rsidR="003B50B7" w:rsidRPr="00801900" w:rsidTr="002072D9">
        <w:tc>
          <w:tcPr>
            <w:tcW w:w="1644" w:type="dxa"/>
            <w:vMerge/>
            <w:tcBorders>
              <w:lef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</w:p>
        </w:tc>
        <w:tc>
          <w:tcPr>
            <w:tcW w:w="164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հանքաքարի,</w:t>
            </w:r>
          </w:p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Au,</w:t>
            </w:r>
          </w:p>
          <w:p w:rsidR="003B50B7" w:rsidRPr="00801900" w:rsidRDefault="003B50B7" w:rsidP="002072D9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Ag,</w:t>
            </w:r>
          </w:p>
          <w:p w:rsidR="003B50B7" w:rsidRPr="00801900" w:rsidRDefault="003B50B7" w:rsidP="002072D9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Cu,</w:t>
            </w:r>
          </w:p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Te,</w:t>
            </w:r>
          </w:p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Bi,</w:t>
            </w:r>
          </w:p>
          <w:p w:rsidR="003B50B7" w:rsidRPr="00801900" w:rsidRDefault="003B50B7" w:rsidP="002072D9">
            <w:pPr>
              <w:ind w:right="7"/>
              <w:jc w:val="center"/>
            </w:pPr>
            <w:r w:rsidRPr="00801900">
              <w:t>տ</w:t>
            </w:r>
          </w:p>
        </w:tc>
      </w:tr>
      <w:tr w:rsidR="003B50B7" w:rsidRPr="00801900" w:rsidTr="002072D9"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7</w:t>
            </w:r>
          </w:p>
        </w:tc>
      </w:tr>
      <w:tr w:rsidR="003B50B7" w:rsidRPr="00801900" w:rsidTr="002072D9">
        <w:tc>
          <w:tcPr>
            <w:tcW w:w="976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Հաշվեկշռային</w:t>
            </w:r>
          </w:p>
        </w:tc>
      </w:tr>
      <w:tr w:rsidR="003B50B7" w:rsidRPr="00801900" w:rsidTr="002072D9"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1</w:t>
            </w:r>
          </w:p>
        </w:tc>
        <w:tc>
          <w:tcPr>
            <w:tcW w:w="164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15 900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538.20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2300.00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109.00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2</w:t>
            </w:r>
          </w:p>
        </w:tc>
        <w:tc>
          <w:tcPr>
            <w:tcW w:w="164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118 365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1 092.50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11</w:t>
            </w:r>
            <w:r w:rsidRPr="00801900">
              <w:rPr>
                <w:rFonts w:cs="Calibri"/>
              </w:rPr>
              <w:t> </w:t>
            </w:r>
            <w:r w:rsidRPr="00801900">
              <w:t>276.00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722.00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1</w:t>
            </w:r>
            <w:r w:rsidRPr="00801900">
              <w:t xml:space="preserve"> + C </w:t>
            </w:r>
            <w:r w:rsidRPr="00801900">
              <w:rPr>
                <w:vertAlign w:val="subscript"/>
              </w:rPr>
              <w:t>2</w:t>
            </w:r>
          </w:p>
        </w:tc>
        <w:tc>
          <w:tcPr>
            <w:tcW w:w="1645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134</w:t>
            </w:r>
            <w:r w:rsidRPr="00801900">
              <w:rPr>
                <w:rFonts w:cs="Calibri"/>
              </w:rPr>
              <w:t> </w:t>
            </w:r>
            <w:r w:rsidRPr="00801900">
              <w:t>265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630.70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13</w:t>
            </w:r>
            <w:r w:rsidRPr="00801900">
              <w:rPr>
                <w:rFonts w:cs="Calibri"/>
              </w:rPr>
              <w:t> </w:t>
            </w:r>
            <w:r w:rsidRPr="00801900">
              <w:t>576.00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831.00</w:t>
            </w:r>
          </w:p>
        </w:tc>
        <w:tc>
          <w:tcPr>
            <w:tcW w:w="1296" w:type="dxa"/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-</w:t>
            </w:r>
          </w:p>
        </w:tc>
      </w:tr>
      <w:tr w:rsidR="003B50B7" w:rsidRPr="00801900" w:rsidTr="002072D9">
        <w:tc>
          <w:tcPr>
            <w:tcW w:w="976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Արտահաշվեկշռային</w:t>
            </w:r>
          </w:p>
        </w:tc>
      </w:tr>
      <w:tr w:rsidR="003B50B7" w:rsidRPr="00801900" w:rsidTr="002072D9"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13</w:t>
            </w:r>
            <w:r w:rsidRPr="00801900">
              <w:rPr>
                <w:rFonts w:cs="Calibri"/>
              </w:rPr>
              <w:t> </w:t>
            </w:r>
            <w:r w:rsidRPr="00801900">
              <w:t>519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175.43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060.64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47.62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1.37</w:t>
            </w:r>
          </w:p>
        </w:tc>
        <w:tc>
          <w:tcPr>
            <w:tcW w:w="1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50B7" w:rsidRPr="00801900" w:rsidRDefault="003B50B7" w:rsidP="002072D9">
            <w:pPr>
              <w:ind w:right="7"/>
              <w:jc w:val="center"/>
            </w:pPr>
            <w:r w:rsidRPr="00801900">
              <w:t>6.82</w:t>
            </w:r>
          </w:p>
        </w:tc>
      </w:tr>
    </w:tbl>
    <w:p w:rsidR="003B50B7" w:rsidRPr="00801900" w:rsidRDefault="003B50B7" w:rsidP="003B50B7">
      <w:pPr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Default="003B50B7" w:rsidP="008A64BA">
      <w:pPr>
        <w:jc w:val="center"/>
        <w:rPr>
          <w:lang w:val="hy-AM"/>
        </w:rPr>
      </w:pPr>
    </w:p>
    <w:p w:rsidR="003B50B7" w:rsidRPr="00BE58C9" w:rsidRDefault="003B50B7" w:rsidP="003B50B7">
      <w:pPr>
        <w:pStyle w:val="1"/>
        <w:tabs>
          <w:tab w:val="left" w:pos="2430"/>
        </w:tabs>
      </w:pPr>
      <w:bookmarkStart w:id="1" w:name="_Toc176022376"/>
      <w:r w:rsidRPr="00BE58C9">
        <w:lastRenderedPageBreak/>
        <w:t>ՕԳՏԱԳՈՐԾՎԱԾ  ՍԿԶՆԱՂԲՅՈՒՐՆԵՐԻ  ՑԱՆԿ</w:t>
      </w:r>
      <w:bookmarkEnd w:id="1"/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3B50B7" w:rsidRPr="003F56F8" w:rsidTr="002072D9">
        <w:tc>
          <w:tcPr>
            <w:tcW w:w="534" w:type="dxa"/>
            <w:hideMark/>
          </w:tcPr>
          <w:p w:rsidR="003B50B7" w:rsidRPr="00BE58C9" w:rsidRDefault="003B50B7" w:rsidP="002072D9">
            <w:pPr>
              <w:jc w:val="center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1.</w:t>
            </w:r>
          </w:p>
        </w:tc>
        <w:tc>
          <w:tcPr>
            <w:tcW w:w="9355" w:type="dxa"/>
            <w:hideMark/>
          </w:tcPr>
          <w:p w:rsidR="003B50B7" w:rsidRPr="00BC15A6" w:rsidRDefault="003B50B7" w:rsidP="002072D9">
            <w:pPr>
              <w:jc w:val="both"/>
              <w:rPr>
                <w:rFonts w:ascii="GHEA Grapalat" w:hAnsi="GHEA Grapalat"/>
              </w:rPr>
            </w:pPr>
            <w:r w:rsidRPr="00BC15A6">
              <w:rPr>
                <w:rFonts w:ascii="GHEA Grapalat" w:hAnsi="GHEA Grapalat"/>
              </w:rPr>
              <w:t>«Технико-экономическое обоснование постоянных кондиций на руды Личкваз-тейс</w:t>
            </w:r>
            <w:r w:rsidRPr="00BC15A6">
              <w:rPr>
                <w:rFonts w:ascii="GHEA Grapalat" w:hAnsi="GHEA Grapalat"/>
              </w:rPr>
              <w:softHyphen/>
              <w:t>ко</w:t>
            </w:r>
            <w:r w:rsidRPr="00BC15A6">
              <w:rPr>
                <w:rFonts w:ascii="GHEA Grapalat" w:hAnsi="GHEA Grapalat"/>
              </w:rPr>
              <w:softHyphen/>
              <w:t>го и Тертерасарского месторождений золота», Ереван 1985.</w:t>
            </w:r>
          </w:p>
        </w:tc>
      </w:tr>
      <w:tr w:rsidR="003B50B7" w:rsidRPr="003F56F8" w:rsidTr="002072D9">
        <w:tc>
          <w:tcPr>
            <w:tcW w:w="534" w:type="dxa"/>
            <w:hideMark/>
          </w:tcPr>
          <w:p w:rsidR="003B50B7" w:rsidRPr="00BE58C9" w:rsidRDefault="003B50B7" w:rsidP="002072D9">
            <w:pPr>
              <w:jc w:val="center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2.</w:t>
            </w:r>
          </w:p>
        </w:tc>
        <w:tc>
          <w:tcPr>
            <w:tcW w:w="9355" w:type="dxa"/>
            <w:hideMark/>
          </w:tcPr>
          <w:p w:rsidR="003B50B7" w:rsidRPr="00BC15A6" w:rsidRDefault="003B50B7" w:rsidP="002072D9">
            <w:pPr>
              <w:jc w:val="both"/>
              <w:rPr>
                <w:rFonts w:ascii="GHEA Grapalat" w:hAnsi="GHEA Grapalat"/>
              </w:rPr>
            </w:pPr>
            <w:r w:rsidRPr="00BC15A6">
              <w:rPr>
                <w:rFonts w:ascii="GHEA Grapalat" w:hAnsi="GHEA Grapalat"/>
              </w:rPr>
              <w:t>«Сводный отчет о результатах детальной разведке Тертерасарского золоторудного месторождения в Мегринском районе Армянской ССР за 1983-1985 гг. с подсчетом запасов на 01.06.1985 г.», Ереван 1985.</w:t>
            </w:r>
          </w:p>
        </w:tc>
      </w:tr>
      <w:tr w:rsidR="003B50B7" w:rsidRPr="009C2CB5" w:rsidTr="002072D9">
        <w:tc>
          <w:tcPr>
            <w:tcW w:w="534" w:type="dxa"/>
            <w:hideMark/>
          </w:tcPr>
          <w:p w:rsidR="003B50B7" w:rsidRPr="00BE58C9" w:rsidRDefault="003B50B7" w:rsidP="002072D9">
            <w:pPr>
              <w:jc w:val="center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3.</w:t>
            </w:r>
          </w:p>
        </w:tc>
        <w:tc>
          <w:tcPr>
            <w:tcW w:w="9355" w:type="dxa"/>
            <w:hideMark/>
          </w:tcPr>
          <w:p w:rsidR="003B50B7" w:rsidRPr="00BC15A6" w:rsidRDefault="003B50B7" w:rsidP="002072D9">
            <w:pPr>
              <w:jc w:val="both"/>
              <w:rPr>
                <w:rFonts w:ascii="GHEA Grapalat" w:hAnsi="GHEA Grapalat"/>
              </w:rPr>
            </w:pPr>
            <w:r w:rsidRPr="00BC15A6">
              <w:rPr>
                <w:rFonts w:ascii="GHEA Grapalat" w:hAnsi="GHEA Grapalat"/>
              </w:rPr>
              <w:t>Протокол ГКЗ  СССР №  2022-К от 29.06. 1985 г. «Об утверждении  параметров кондиций Тертерасарского золоторудного месторождения», Москва 1985</w:t>
            </w:r>
          </w:p>
        </w:tc>
      </w:tr>
      <w:tr w:rsidR="003B50B7" w:rsidRPr="009C2CB5" w:rsidTr="002072D9">
        <w:tc>
          <w:tcPr>
            <w:tcW w:w="534" w:type="dxa"/>
            <w:hideMark/>
          </w:tcPr>
          <w:p w:rsidR="003B50B7" w:rsidRPr="00BE58C9" w:rsidRDefault="003B50B7" w:rsidP="002072D9">
            <w:pPr>
              <w:jc w:val="center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4.</w:t>
            </w:r>
          </w:p>
        </w:tc>
        <w:tc>
          <w:tcPr>
            <w:tcW w:w="9355" w:type="dxa"/>
            <w:hideMark/>
          </w:tcPr>
          <w:p w:rsidR="003B50B7" w:rsidRPr="00BC15A6" w:rsidRDefault="003B50B7" w:rsidP="002072D9">
            <w:pPr>
              <w:jc w:val="both"/>
              <w:rPr>
                <w:rFonts w:ascii="GHEA Grapalat" w:hAnsi="GHEA Grapalat"/>
              </w:rPr>
            </w:pPr>
            <w:r w:rsidRPr="00BC15A6">
              <w:rPr>
                <w:rFonts w:ascii="GHEA Grapalat" w:hAnsi="GHEA Grapalat"/>
              </w:rPr>
              <w:t>Протокол ГКЗ  СССР № 9902 от 30.12.1985 г. «Об утверждении запасов Тертерасарского золоторудного месторождения», Москва 1985</w:t>
            </w:r>
          </w:p>
        </w:tc>
      </w:tr>
      <w:tr w:rsidR="003B50B7" w:rsidRPr="003F56F8" w:rsidTr="002072D9">
        <w:tc>
          <w:tcPr>
            <w:tcW w:w="534" w:type="dxa"/>
            <w:hideMark/>
          </w:tcPr>
          <w:p w:rsidR="003B50B7" w:rsidRPr="00BE58C9" w:rsidRDefault="003B50B7" w:rsidP="002072D9">
            <w:pPr>
              <w:jc w:val="center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5.</w:t>
            </w:r>
          </w:p>
        </w:tc>
        <w:tc>
          <w:tcPr>
            <w:tcW w:w="9355" w:type="dxa"/>
            <w:hideMark/>
          </w:tcPr>
          <w:p w:rsidR="003B50B7" w:rsidRPr="00BC15A6" w:rsidRDefault="003B50B7" w:rsidP="002072D9">
            <w:pPr>
              <w:jc w:val="both"/>
              <w:rPr>
                <w:rFonts w:ascii="GHEA Grapalat" w:hAnsi="GHEA Grapalat"/>
              </w:rPr>
            </w:pPr>
            <w:r w:rsidRPr="00BC15A6">
              <w:rPr>
                <w:rFonts w:ascii="GHEA Grapalat" w:hAnsi="GHEA Grapalat"/>
              </w:rPr>
              <w:t>«Технико-экономическое обоснование эксплуатационных кондиций Тертерасарского месторождения золота», Ереван 2001.</w:t>
            </w:r>
          </w:p>
        </w:tc>
      </w:tr>
      <w:tr w:rsidR="003B50B7" w:rsidRPr="00BE58C9" w:rsidTr="002072D9">
        <w:tc>
          <w:tcPr>
            <w:tcW w:w="534" w:type="dxa"/>
            <w:hideMark/>
          </w:tcPr>
          <w:p w:rsidR="003B50B7" w:rsidRPr="00BE58C9" w:rsidRDefault="003B50B7" w:rsidP="002072D9">
            <w:pPr>
              <w:jc w:val="center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6.</w:t>
            </w:r>
          </w:p>
        </w:tc>
        <w:tc>
          <w:tcPr>
            <w:tcW w:w="9355" w:type="dxa"/>
            <w:hideMark/>
          </w:tcPr>
          <w:p w:rsidR="003B50B7" w:rsidRPr="00BE58C9" w:rsidRDefault="003B50B7" w:rsidP="002072D9">
            <w:pPr>
              <w:jc w:val="both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ՀՀ ՊՊՀ-ի 24.08.2001թ-ի լիագումար նիստի թիվ 105 արձանագրություն «Հայաստա</w:t>
            </w:r>
            <w:r w:rsidRPr="00BE58C9">
              <w:rPr>
                <w:rFonts w:ascii="GHEA Grapalat" w:hAnsi="GHEA Grapalat"/>
              </w:rPr>
              <w:softHyphen/>
              <w:t>նի Հանրապետության Սյունիքի մարզի Տերտերասարի ուկու հանքավայրի արդյու</w:t>
            </w:r>
            <w:r w:rsidRPr="00BE58C9">
              <w:rPr>
                <w:rFonts w:ascii="GHEA Grapalat" w:hAnsi="GHEA Grapalat"/>
              </w:rPr>
              <w:softHyphen/>
              <w:t>նաբերական գնահատման և կոնդիցիաների պարամետրերի հիմնավորման նյու</w:t>
            </w:r>
            <w:r w:rsidRPr="00BE58C9">
              <w:rPr>
                <w:rFonts w:ascii="GHEA Grapalat" w:hAnsi="GHEA Grapalat"/>
              </w:rPr>
              <w:softHyphen/>
              <w:t>թե</w:t>
            </w:r>
            <w:r w:rsidRPr="00BE58C9">
              <w:rPr>
                <w:rFonts w:ascii="GHEA Grapalat" w:hAnsi="GHEA Grapalat"/>
              </w:rPr>
              <w:softHyphen/>
              <w:t>րի քննարկման արդյունքների վերաբերյալ», Երևան 2001</w:t>
            </w:r>
          </w:p>
        </w:tc>
      </w:tr>
      <w:tr w:rsidR="003B50B7" w:rsidRPr="003F56F8" w:rsidTr="002072D9">
        <w:tc>
          <w:tcPr>
            <w:tcW w:w="534" w:type="dxa"/>
            <w:hideMark/>
          </w:tcPr>
          <w:p w:rsidR="003B50B7" w:rsidRPr="00BE58C9" w:rsidRDefault="003B50B7" w:rsidP="002072D9">
            <w:pPr>
              <w:jc w:val="center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7.</w:t>
            </w:r>
          </w:p>
        </w:tc>
        <w:tc>
          <w:tcPr>
            <w:tcW w:w="9355" w:type="dxa"/>
            <w:hideMark/>
          </w:tcPr>
          <w:p w:rsidR="003B50B7" w:rsidRPr="00BC15A6" w:rsidRDefault="003B50B7" w:rsidP="002072D9">
            <w:pPr>
              <w:tabs>
                <w:tab w:val="left" w:pos="993"/>
              </w:tabs>
              <w:jc w:val="both"/>
              <w:rPr>
                <w:rFonts w:ascii="GHEA Grapalat" w:hAnsi="GHEA Grapalat"/>
              </w:rPr>
            </w:pPr>
            <w:r w:rsidRPr="00BC15A6">
              <w:rPr>
                <w:rFonts w:ascii="GHEA Grapalat" w:hAnsi="GHEA Grapalat"/>
              </w:rPr>
              <w:t>«Краткий геологический отчет с подсчетом запасов Тертерасарского золоторудного место</w:t>
            </w:r>
            <w:r w:rsidRPr="00BC15A6">
              <w:rPr>
                <w:rFonts w:ascii="GHEA Grapalat" w:hAnsi="GHEA Grapalat"/>
              </w:rPr>
              <w:softHyphen/>
              <w:t>рож</w:t>
            </w:r>
            <w:r w:rsidRPr="00BC15A6">
              <w:rPr>
                <w:rFonts w:ascii="GHEA Grapalat" w:hAnsi="GHEA Grapalat"/>
              </w:rPr>
              <w:softHyphen/>
              <w:t>де</w:t>
            </w:r>
            <w:r w:rsidRPr="00BC15A6">
              <w:rPr>
                <w:rFonts w:ascii="GHEA Grapalat" w:hAnsi="GHEA Grapalat"/>
              </w:rPr>
              <w:softHyphen/>
              <w:t>ния по состоянию на 01.01.2002 г.», Ереван 2002</w:t>
            </w:r>
          </w:p>
        </w:tc>
      </w:tr>
      <w:tr w:rsidR="003B50B7" w:rsidRPr="00BC15A6" w:rsidTr="002072D9">
        <w:tc>
          <w:tcPr>
            <w:tcW w:w="534" w:type="dxa"/>
            <w:hideMark/>
          </w:tcPr>
          <w:p w:rsidR="003B50B7" w:rsidRPr="00BE58C9" w:rsidRDefault="003B50B7" w:rsidP="002072D9">
            <w:pPr>
              <w:jc w:val="center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8.</w:t>
            </w:r>
          </w:p>
        </w:tc>
        <w:tc>
          <w:tcPr>
            <w:tcW w:w="9355" w:type="dxa"/>
            <w:hideMark/>
          </w:tcPr>
          <w:p w:rsidR="003B50B7" w:rsidRPr="00BE58C9" w:rsidRDefault="003B50B7" w:rsidP="002072D9">
            <w:pPr>
              <w:jc w:val="both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ՀՀ ՕՀՊԳ-ի խորհրդի 25.01.2003 թ-ի № 1 Որոշում «ՀՀ Սյունիքի մարզի Տերտերասա</w:t>
            </w:r>
            <w:r w:rsidRPr="00BE58C9">
              <w:rPr>
                <w:rFonts w:ascii="GHEA Grapalat" w:hAnsi="GHEA Grapalat"/>
              </w:rPr>
              <w:softHyphen/>
              <w:t>րի ուկու հանքավայրի կոնդիցիաների պարամետրերի և պաշարների հաստատման մասին», Երևան 2001</w:t>
            </w:r>
          </w:p>
        </w:tc>
      </w:tr>
      <w:tr w:rsidR="003B50B7" w:rsidRPr="00BE58C9" w:rsidTr="002072D9">
        <w:tc>
          <w:tcPr>
            <w:tcW w:w="534" w:type="dxa"/>
            <w:hideMark/>
          </w:tcPr>
          <w:p w:rsidR="003B50B7" w:rsidRPr="00BE58C9" w:rsidRDefault="003B50B7" w:rsidP="002072D9">
            <w:pPr>
              <w:jc w:val="center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9.</w:t>
            </w:r>
          </w:p>
        </w:tc>
        <w:tc>
          <w:tcPr>
            <w:tcW w:w="9355" w:type="dxa"/>
            <w:hideMark/>
          </w:tcPr>
          <w:p w:rsidR="003B50B7" w:rsidRPr="00BE58C9" w:rsidRDefault="003B50B7" w:rsidP="002072D9">
            <w:pPr>
              <w:jc w:val="both"/>
              <w:rPr>
                <w:rFonts w:ascii="GHEA Grapalat" w:hAnsi="GHEA Grapalat"/>
              </w:rPr>
            </w:pPr>
            <w:r w:rsidRPr="00BE58C9">
              <w:rPr>
                <w:rFonts w:ascii="GHEA Grapalat" w:hAnsi="GHEA Grapalat"/>
              </w:rPr>
              <w:t>«Հաշվետվություն ՀՀ Սյունիքի մարզի Տերտերասարի ուկու հանքա</w:t>
            </w:r>
            <w:r w:rsidRPr="00BE58C9">
              <w:rPr>
                <w:rFonts w:ascii="GHEA Grapalat" w:hAnsi="GHEA Grapalat"/>
              </w:rPr>
              <w:softHyphen/>
              <w:t>վայ</w:t>
            </w:r>
            <w:r w:rsidRPr="00BE58C9">
              <w:rPr>
                <w:rFonts w:ascii="GHEA Grapalat" w:hAnsi="GHEA Grapalat"/>
              </w:rPr>
              <w:softHyphen/>
              <w:t>րում 2000- 2012 թվականներին կատարված երկրաբանական և շահագոր</w:t>
            </w:r>
            <w:r w:rsidRPr="00BE58C9">
              <w:rPr>
                <w:rFonts w:ascii="GHEA Grapalat" w:hAnsi="GHEA Grapalat"/>
              </w:rPr>
              <w:softHyphen/>
              <w:t>ծա</w:t>
            </w:r>
            <w:r w:rsidRPr="00BE58C9">
              <w:rPr>
                <w:rFonts w:ascii="GHEA Grapalat" w:hAnsi="GHEA Grapalat"/>
              </w:rPr>
              <w:softHyphen/>
              <w:t>կան աշխատանք</w:t>
            </w:r>
            <w:r w:rsidRPr="00BE58C9">
              <w:rPr>
                <w:rFonts w:ascii="GHEA Grapalat" w:hAnsi="GHEA Grapalat"/>
              </w:rPr>
              <w:softHyphen/>
              <w:t>ների վերաբերյալ», Երևան 2012</w:t>
            </w:r>
          </w:p>
        </w:tc>
      </w:tr>
    </w:tbl>
    <w:p w:rsidR="003B50B7" w:rsidRPr="003B50B7" w:rsidRDefault="003B50B7" w:rsidP="008A64BA">
      <w:pPr>
        <w:jc w:val="center"/>
      </w:pPr>
    </w:p>
    <w:sectPr w:rsidR="003B50B7" w:rsidRPr="003B50B7" w:rsidSect="0048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1915"/>
    <w:multiLevelType w:val="hybridMultilevel"/>
    <w:tmpl w:val="FE549FE4"/>
    <w:lvl w:ilvl="0" w:tplc="90708C7C">
      <w:start w:val="3"/>
      <w:numFmt w:val="bullet"/>
      <w:lvlText w:val="-"/>
      <w:lvlJc w:val="left"/>
      <w:pPr>
        <w:ind w:left="1069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53"/>
    <w:rsid w:val="001F6EA8"/>
    <w:rsid w:val="00233D78"/>
    <w:rsid w:val="003B50B7"/>
    <w:rsid w:val="00486F86"/>
    <w:rsid w:val="0060539F"/>
    <w:rsid w:val="007F23D7"/>
    <w:rsid w:val="008A64BA"/>
    <w:rsid w:val="00980557"/>
    <w:rsid w:val="00997B53"/>
    <w:rsid w:val="00C15352"/>
    <w:rsid w:val="00C871F7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0557"/>
    <w:pPr>
      <w:keepNext/>
      <w:spacing w:line="360" w:lineRule="auto"/>
      <w:ind w:left="-57" w:right="-57" w:firstLine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05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05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55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98055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980557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8055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0557"/>
    <w:rPr>
      <w:sz w:val="24"/>
    </w:rPr>
  </w:style>
  <w:style w:type="table" w:styleId="a5">
    <w:name w:val="Table Grid"/>
    <w:basedOn w:val="a1"/>
    <w:rsid w:val="008A6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ANNEX"/>
    <w:basedOn w:val="a"/>
    <w:link w:val="a7"/>
    <w:uiPriority w:val="34"/>
    <w:qFormat/>
    <w:rsid w:val="003B50B7"/>
    <w:pPr>
      <w:widowControl w:val="0"/>
      <w:autoSpaceDE w:val="0"/>
      <w:autoSpaceDN w:val="0"/>
      <w:ind w:left="720" w:hanging="361"/>
    </w:pPr>
    <w:rPr>
      <w:rFonts w:ascii="Sylfaen" w:eastAsia="Sylfaen" w:hAnsi="Sylfaen" w:cs="Sylfaen"/>
      <w:sz w:val="22"/>
      <w:szCs w:val="22"/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locked/>
    <w:rsid w:val="003B50B7"/>
    <w:rPr>
      <w:rFonts w:ascii="Sylfaen" w:eastAsia="Sylfaen" w:hAnsi="Sylfaen" w:cs="Sylfae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0557"/>
    <w:pPr>
      <w:keepNext/>
      <w:spacing w:line="360" w:lineRule="auto"/>
      <w:ind w:left="-57" w:right="-57" w:firstLine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05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05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55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98055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980557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8055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0557"/>
    <w:rPr>
      <w:sz w:val="24"/>
    </w:rPr>
  </w:style>
  <w:style w:type="table" w:styleId="a5">
    <w:name w:val="Table Grid"/>
    <w:basedOn w:val="a1"/>
    <w:rsid w:val="008A6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ANNEX"/>
    <w:basedOn w:val="a"/>
    <w:link w:val="a7"/>
    <w:uiPriority w:val="34"/>
    <w:qFormat/>
    <w:rsid w:val="003B50B7"/>
    <w:pPr>
      <w:widowControl w:val="0"/>
      <w:autoSpaceDE w:val="0"/>
      <w:autoSpaceDN w:val="0"/>
      <w:ind w:left="720" w:hanging="361"/>
    </w:pPr>
    <w:rPr>
      <w:rFonts w:ascii="Sylfaen" w:eastAsia="Sylfaen" w:hAnsi="Sylfaen" w:cs="Sylfaen"/>
      <w:sz w:val="22"/>
      <w:szCs w:val="22"/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locked/>
    <w:rsid w:val="003B50B7"/>
    <w:rPr>
      <w:rFonts w:ascii="Sylfaen" w:eastAsia="Sylfaen" w:hAnsi="Sylfaen" w:cs="Sylfae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2025-03-28T05:56:00Z</dcterms:created>
  <dcterms:modified xsi:type="dcterms:W3CDTF">2025-03-28T05:56:00Z</dcterms:modified>
</cp:coreProperties>
</file>